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4B" w:rsidRPr="0071124B" w:rsidRDefault="0071124B" w:rsidP="0071124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color w:val="000000"/>
        </w:rPr>
      </w:pPr>
      <w:r w:rsidRPr="0071124B">
        <w:rPr>
          <w:rFonts w:ascii="Garamond" w:hAnsi="Garamond" w:cs="Arial"/>
          <w:b/>
          <w:color w:val="000000"/>
        </w:rPr>
        <w:t>NUOVI APPROCCI TERAPEUTICI PER IL PIU’ COMUNE TUMORE CEREBRALE DELL’INFANZIA: IL MEDULLOBLASTOMA</w:t>
      </w:r>
    </w:p>
    <w:p w:rsidR="0069079B" w:rsidRPr="0071124B" w:rsidRDefault="0069079B" w:rsidP="00A961C9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</w:rPr>
      </w:pPr>
    </w:p>
    <w:p w:rsidR="00A961C9" w:rsidRPr="0071124B" w:rsidRDefault="00A961C9" w:rsidP="0071124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color w:val="000000"/>
        </w:rPr>
      </w:pPr>
      <w:r w:rsidRPr="0071124B">
        <w:rPr>
          <w:rFonts w:ascii="Garamond" w:hAnsi="Garamond" w:cs="Arial"/>
          <w:b/>
          <w:color w:val="000000"/>
        </w:rPr>
        <w:t xml:space="preserve">Analisi del ruolo di ß-catenina nel </w:t>
      </w:r>
      <w:proofErr w:type="spellStart"/>
      <w:r w:rsidRPr="0071124B">
        <w:rPr>
          <w:rFonts w:ascii="Garamond" w:hAnsi="Garamond" w:cs="Arial"/>
          <w:b/>
          <w:color w:val="000000"/>
        </w:rPr>
        <w:t>medulloblastoma</w:t>
      </w:r>
      <w:proofErr w:type="spellEnd"/>
      <w:r w:rsidRPr="0071124B">
        <w:rPr>
          <w:rFonts w:ascii="Garamond" w:hAnsi="Garamond" w:cs="Arial"/>
          <w:b/>
          <w:color w:val="000000"/>
        </w:rPr>
        <w:t xml:space="preserve"> mediante un approccio farmacologico</w:t>
      </w:r>
    </w:p>
    <w:p w:rsidR="0071124B" w:rsidRDefault="00310B31" w:rsidP="0071124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Giovanna</w:t>
      </w:r>
      <w:r w:rsidR="0071124B">
        <w:rPr>
          <w:rFonts w:ascii="Garamond" w:hAnsi="Garamond" w:cs="Arial"/>
          <w:color w:val="000000"/>
        </w:rPr>
        <w:t xml:space="preserve"> </w:t>
      </w:r>
      <w:proofErr w:type="spellStart"/>
      <w:r w:rsidR="0071124B">
        <w:rPr>
          <w:rFonts w:ascii="Garamond" w:hAnsi="Garamond" w:cs="Arial"/>
          <w:color w:val="000000"/>
        </w:rPr>
        <w:t>Cenacchi</w:t>
      </w:r>
      <w:proofErr w:type="spellEnd"/>
    </w:p>
    <w:p w:rsidR="00A961C9" w:rsidRPr="0071124B" w:rsidRDefault="00310B31" w:rsidP="0071124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Cristiano </w:t>
      </w:r>
      <w:r w:rsidR="00A961C9" w:rsidRPr="0071124B">
        <w:rPr>
          <w:rFonts w:ascii="Garamond" w:hAnsi="Garamond" w:cs="Arial"/>
          <w:color w:val="000000"/>
        </w:rPr>
        <w:t>Renna, R</w:t>
      </w:r>
      <w:r>
        <w:rPr>
          <w:rFonts w:ascii="Garamond" w:hAnsi="Garamond" w:cs="Arial"/>
          <w:color w:val="000000"/>
        </w:rPr>
        <w:t>oberta</w:t>
      </w:r>
      <w:bookmarkStart w:id="0" w:name="_GoBack"/>
      <w:bookmarkEnd w:id="0"/>
      <w:r w:rsidR="00A961C9" w:rsidRPr="0071124B">
        <w:rPr>
          <w:rFonts w:ascii="Garamond" w:hAnsi="Garamond" w:cs="Arial"/>
          <w:color w:val="000000"/>
        </w:rPr>
        <w:t xml:space="preserve"> </w:t>
      </w:r>
      <w:proofErr w:type="spellStart"/>
      <w:r w:rsidR="00A961C9" w:rsidRPr="0071124B">
        <w:rPr>
          <w:rFonts w:ascii="Garamond" w:hAnsi="Garamond" w:cs="Arial"/>
          <w:color w:val="000000"/>
        </w:rPr>
        <w:t>Salaroli</w:t>
      </w:r>
      <w:proofErr w:type="spellEnd"/>
    </w:p>
    <w:p w:rsidR="0071124B" w:rsidRDefault="0071124B" w:rsidP="0038720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</w:rPr>
      </w:pPr>
    </w:p>
    <w:p w:rsidR="00F4026C" w:rsidRDefault="00A961C9" w:rsidP="0038720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</w:rPr>
      </w:pPr>
      <w:r w:rsidRPr="0071124B">
        <w:rPr>
          <w:rFonts w:ascii="Garamond" w:hAnsi="Garamond" w:cs="Arial"/>
          <w:color w:val="000000"/>
        </w:rPr>
        <w:t>Dipartimento di Scienze Biomediche</w:t>
      </w:r>
      <w:r w:rsidR="00F4026C">
        <w:rPr>
          <w:rFonts w:ascii="Garamond" w:hAnsi="Garamond" w:cs="Arial"/>
          <w:color w:val="000000"/>
        </w:rPr>
        <w:t xml:space="preserve"> e Neuromotorie</w:t>
      </w:r>
    </w:p>
    <w:p w:rsidR="00A961C9" w:rsidRPr="0071124B" w:rsidRDefault="00A961C9" w:rsidP="0038720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</w:rPr>
      </w:pPr>
      <w:r w:rsidRPr="0071124B">
        <w:rPr>
          <w:rFonts w:ascii="Garamond" w:hAnsi="Garamond" w:cs="Arial"/>
          <w:color w:val="000000"/>
        </w:rPr>
        <w:t>Università di Bologna</w:t>
      </w:r>
    </w:p>
    <w:p w:rsidR="008C57B6" w:rsidRPr="0071124B" w:rsidRDefault="008C57B6" w:rsidP="0038720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u w:val="single"/>
        </w:rPr>
      </w:pPr>
    </w:p>
    <w:p w:rsidR="00A961C9" w:rsidRPr="0071124B" w:rsidRDefault="008C57B6" w:rsidP="0038720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u w:val="single"/>
        </w:rPr>
      </w:pPr>
      <w:r w:rsidRPr="0071124B">
        <w:rPr>
          <w:rFonts w:ascii="Garamond" w:hAnsi="Garamond" w:cs="Arial"/>
          <w:color w:val="000000"/>
          <w:u w:val="single"/>
        </w:rPr>
        <w:t>Introduzione</w:t>
      </w:r>
    </w:p>
    <w:p w:rsidR="0071124B" w:rsidRDefault="0071124B" w:rsidP="0038720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</w:rPr>
      </w:pPr>
    </w:p>
    <w:p w:rsidR="00D14D58" w:rsidRPr="0071124B" w:rsidRDefault="00D14D58" w:rsidP="0038720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</w:rPr>
      </w:pPr>
      <w:r w:rsidRPr="0071124B">
        <w:rPr>
          <w:rFonts w:ascii="Garamond" w:hAnsi="Garamond" w:cs="Arial"/>
          <w:color w:val="000000"/>
        </w:rPr>
        <w:t xml:space="preserve">Il </w:t>
      </w:r>
      <w:proofErr w:type="spellStart"/>
      <w:r w:rsidR="00426765" w:rsidRPr="0071124B">
        <w:rPr>
          <w:rFonts w:ascii="Garamond" w:hAnsi="Garamond" w:cs="Arial"/>
          <w:color w:val="000000"/>
        </w:rPr>
        <w:t>Medulloblastoma</w:t>
      </w:r>
      <w:proofErr w:type="spellEnd"/>
      <w:r w:rsidR="00426765" w:rsidRPr="0071124B">
        <w:rPr>
          <w:rFonts w:ascii="Garamond" w:hAnsi="Garamond" w:cs="Arial"/>
          <w:color w:val="000000"/>
        </w:rPr>
        <w:t xml:space="preserve"> (MB)</w:t>
      </w:r>
      <w:r w:rsidRPr="0071124B">
        <w:rPr>
          <w:rFonts w:ascii="Garamond" w:hAnsi="Garamond" w:cs="Arial"/>
          <w:color w:val="000000"/>
        </w:rPr>
        <w:t xml:space="preserve"> è un tumore embrionale costituito cioè da cellule ancora non completamente di</w:t>
      </w:r>
      <w:r w:rsidR="00A961C9" w:rsidRPr="0071124B">
        <w:rPr>
          <w:rFonts w:ascii="Garamond" w:hAnsi="Garamond" w:cs="Arial"/>
          <w:color w:val="000000"/>
        </w:rPr>
        <w:t xml:space="preserve">fferenziate in senso neuronale o gliale </w:t>
      </w:r>
      <w:r w:rsidRPr="0071124B">
        <w:rPr>
          <w:rFonts w:ascii="Garamond" w:hAnsi="Garamond" w:cs="Arial"/>
          <w:color w:val="000000"/>
        </w:rPr>
        <w:t>ed è localizzato principalmente nel cervelletto</w:t>
      </w:r>
      <w:r w:rsidR="00A961C9" w:rsidRPr="0071124B">
        <w:rPr>
          <w:rFonts w:ascii="Garamond" w:hAnsi="Garamond" w:cs="Arial"/>
          <w:color w:val="000000"/>
        </w:rPr>
        <w:t>,</w:t>
      </w:r>
      <w:r w:rsidRPr="0071124B">
        <w:rPr>
          <w:rFonts w:ascii="Garamond" w:hAnsi="Garamond" w:cs="Arial"/>
          <w:color w:val="000000"/>
        </w:rPr>
        <w:t xml:space="preserve"> in particolare nel verme, la porzione più “antica” o negli emisferi cerebellari. Il </w:t>
      </w:r>
      <w:r w:rsidR="00A961C9" w:rsidRPr="0071124B">
        <w:rPr>
          <w:rFonts w:ascii="Garamond" w:hAnsi="Garamond" w:cs="Arial"/>
          <w:color w:val="000000"/>
        </w:rPr>
        <w:t>MB</w:t>
      </w:r>
      <w:r w:rsidRPr="0071124B">
        <w:rPr>
          <w:rFonts w:ascii="Garamond" w:hAnsi="Garamond" w:cs="Arial"/>
          <w:color w:val="000000"/>
        </w:rPr>
        <w:t xml:space="preserve"> rappresenta il tumore cerebrale più comune nell’infanzia secondo solo ai tumori di or</w:t>
      </w:r>
      <w:r w:rsidR="00A961C9" w:rsidRPr="0071124B">
        <w:rPr>
          <w:rFonts w:ascii="Garamond" w:hAnsi="Garamond" w:cs="Arial"/>
          <w:color w:val="000000"/>
        </w:rPr>
        <w:t>igine ematologica</w:t>
      </w:r>
      <w:r w:rsidRPr="0071124B">
        <w:rPr>
          <w:rFonts w:ascii="Garamond" w:hAnsi="Garamond" w:cs="Arial"/>
          <w:color w:val="000000"/>
        </w:rPr>
        <w:t>. L</w:t>
      </w:r>
      <w:r w:rsidR="00A961C9" w:rsidRPr="0071124B">
        <w:rPr>
          <w:rFonts w:ascii="Garamond" w:hAnsi="Garamond" w:cs="Arial"/>
          <w:color w:val="000000"/>
        </w:rPr>
        <w:t>’età</w:t>
      </w:r>
      <w:r w:rsidRPr="0071124B">
        <w:rPr>
          <w:rFonts w:ascii="Garamond" w:hAnsi="Garamond" w:cs="Arial"/>
          <w:color w:val="000000"/>
        </w:rPr>
        <w:t xml:space="preserve"> pi</w:t>
      </w:r>
      <w:r w:rsidR="00C40D7C" w:rsidRPr="0071124B">
        <w:rPr>
          <w:rFonts w:ascii="Garamond" w:hAnsi="Garamond" w:cs="Arial"/>
          <w:color w:val="000000"/>
        </w:rPr>
        <w:t>ù</w:t>
      </w:r>
      <w:r w:rsidRPr="0071124B">
        <w:rPr>
          <w:rFonts w:ascii="Garamond" w:hAnsi="Garamond" w:cs="Arial"/>
          <w:color w:val="000000"/>
        </w:rPr>
        <w:t xml:space="preserve"> frequente di insorgenza </w:t>
      </w:r>
      <w:r w:rsidR="00A961C9" w:rsidRPr="0071124B">
        <w:rPr>
          <w:rFonts w:ascii="Garamond" w:hAnsi="Garamond" w:cs="Arial"/>
          <w:color w:val="000000"/>
        </w:rPr>
        <w:t>è tra i 4 e 7 anni, m</w:t>
      </w:r>
      <w:r w:rsidRPr="0071124B">
        <w:rPr>
          <w:rFonts w:ascii="Garamond" w:hAnsi="Garamond" w:cs="Arial"/>
          <w:color w:val="000000"/>
        </w:rPr>
        <w:t>a</w:t>
      </w:r>
      <w:r w:rsidR="00A961C9" w:rsidRPr="0071124B">
        <w:rPr>
          <w:rFonts w:ascii="Garamond" w:hAnsi="Garamond" w:cs="Arial"/>
          <w:color w:val="000000"/>
        </w:rPr>
        <w:t xml:space="preserve"> </w:t>
      </w:r>
      <w:r w:rsidRPr="0071124B">
        <w:rPr>
          <w:rFonts w:ascii="Garamond" w:hAnsi="Garamond" w:cs="Arial"/>
          <w:color w:val="000000"/>
        </w:rPr>
        <w:t>pu</w:t>
      </w:r>
      <w:r w:rsidR="00A961C9" w:rsidRPr="0071124B">
        <w:rPr>
          <w:rFonts w:ascii="Garamond" w:hAnsi="Garamond" w:cs="Arial"/>
          <w:color w:val="000000"/>
        </w:rPr>
        <w:t>ò</w:t>
      </w:r>
      <w:r w:rsidRPr="0071124B">
        <w:rPr>
          <w:rFonts w:ascii="Garamond" w:hAnsi="Garamond" w:cs="Arial"/>
          <w:color w:val="000000"/>
        </w:rPr>
        <w:t xml:space="preserve"> insorgere anche nell’adulto sebbene con minore frequenza. Una delle sue principali caratteristiche è quella di avere la capacità di disseminare attraverso il liquido cefalorachidiano  e tale disseminazione metastatica è comune in circa il 30% dei pazienti. La dissem</w:t>
      </w:r>
      <w:r w:rsidR="00A961C9" w:rsidRPr="0071124B">
        <w:rPr>
          <w:rFonts w:ascii="Garamond" w:hAnsi="Garamond" w:cs="Arial"/>
          <w:color w:val="000000"/>
        </w:rPr>
        <w:t>inazione al di fuori del siste</w:t>
      </w:r>
      <w:r w:rsidRPr="0071124B">
        <w:rPr>
          <w:rFonts w:ascii="Garamond" w:hAnsi="Garamond" w:cs="Arial"/>
          <w:color w:val="000000"/>
        </w:rPr>
        <w:t xml:space="preserve">ma nervoso centrale </w:t>
      </w:r>
      <w:r w:rsidR="00A961C9" w:rsidRPr="0071124B">
        <w:rPr>
          <w:rFonts w:ascii="Garamond" w:hAnsi="Garamond" w:cs="Arial"/>
          <w:color w:val="000000"/>
        </w:rPr>
        <w:t>è</w:t>
      </w:r>
      <w:r w:rsidRPr="0071124B">
        <w:rPr>
          <w:rFonts w:ascii="Garamond" w:hAnsi="Garamond" w:cs="Arial"/>
          <w:color w:val="000000"/>
        </w:rPr>
        <w:t xml:space="preserve"> estremamente rara a differenza delle altre neoplasi</w:t>
      </w:r>
      <w:r w:rsidR="00A961C9" w:rsidRPr="0071124B">
        <w:rPr>
          <w:rFonts w:ascii="Garamond" w:hAnsi="Garamond" w:cs="Arial"/>
          <w:color w:val="000000"/>
        </w:rPr>
        <w:t>e</w:t>
      </w:r>
      <w:r w:rsidRPr="0071124B">
        <w:rPr>
          <w:rFonts w:ascii="Garamond" w:hAnsi="Garamond" w:cs="Arial"/>
          <w:color w:val="000000"/>
        </w:rPr>
        <w:t xml:space="preserve"> non cerebrali. </w:t>
      </w:r>
    </w:p>
    <w:p w:rsidR="007C3C42" w:rsidRPr="0071124B" w:rsidRDefault="00D14D58" w:rsidP="0038720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</w:rPr>
      </w:pPr>
      <w:r w:rsidRPr="0071124B">
        <w:rPr>
          <w:rFonts w:ascii="Garamond" w:hAnsi="Garamond" w:cs="Arial"/>
          <w:color w:val="000000"/>
        </w:rPr>
        <w:t>Il trattamento del MB prevede ad oggi un t</w:t>
      </w:r>
      <w:r w:rsidR="00A961C9" w:rsidRPr="0071124B">
        <w:rPr>
          <w:rFonts w:ascii="Garamond" w:hAnsi="Garamond" w:cs="Arial"/>
          <w:color w:val="000000"/>
        </w:rPr>
        <w:t>rattamento multimodale consistente n</w:t>
      </w:r>
      <w:r w:rsidRPr="0071124B">
        <w:rPr>
          <w:rFonts w:ascii="Garamond" w:hAnsi="Garamond" w:cs="Arial"/>
          <w:color w:val="000000"/>
        </w:rPr>
        <w:t>ella resezione chirurgica quanto più estesa possib</w:t>
      </w:r>
      <w:r w:rsidR="00A961C9" w:rsidRPr="0071124B">
        <w:rPr>
          <w:rFonts w:ascii="Garamond" w:hAnsi="Garamond" w:cs="Arial"/>
          <w:color w:val="000000"/>
        </w:rPr>
        <w:t>i</w:t>
      </w:r>
      <w:r w:rsidRPr="0071124B">
        <w:rPr>
          <w:rFonts w:ascii="Garamond" w:hAnsi="Garamond" w:cs="Arial"/>
          <w:color w:val="000000"/>
        </w:rPr>
        <w:t xml:space="preserve">le, </w:t>
      </w:r>
      <w:r w:rsidR="00C40D7C" w:rsidRPr="0071124B">
        <w:rPr>
          <w:rFonts w:ascii="Garamond" w:hAnsi="Garamond" w:cs="Arial"/>
          <w:color w:val="000000"/>
        </w:rPr>
        <w:t>nella</w:t>
      </w:r>
      <w:r w:rsidRPr="0071124B">
        <w:rPr>
          <w:rFonts w:ascii="Garamond" w:hAnsi="Garamond" w:cs="Arial"/>
          <w:color w:val="000000"/>
        </w:rPr>
        <w:t xml:space="preserve"> radio e chemioterapia: tale trattamento ha portato ad un</w:t>
      </w:r>
      <w:r w:rsidR="00A961C9" w:rsidRPr="0071124B">
        <w:rPr>
          <w:rFonts w:ascii="Garamond" w:hAnsi="Garamond" w:cs="Arial"/>
          <w:color w:val="000000"/>
        </w:rPr>
        <w:t>a lungo</w:t>
      </w:r>
      <w:r w:rsidR="00C40D7C" w:rsidRPr="0071124B">
        <w:rPr>
          <w:rFonts w:ascii="Garamond" w:hAnsi="Garamond" w:cs="Arial"/>
          <w:color w:val="000000"/>
        </w:rPr>
        <w:t>-</w:t>
      </w:r>
      <w:r w:rsidR="00A961C9" w:rsidRPr="0071124B">
        <w:rPr>
          <w:rFonts w:ascii="Garamond" w:hAnsi="Garamond" w:cs="Arial"/>
          <w:color w:val="000000"/>
        </w:rPr>
        <w:t>sopravvivenza in circa 2/3 dei</w:t>
      </w:r>
      <w:r w:rsidRPr="0071124B">
        <w:rPr>
          <w:rFonts w:ascii="Garamond" w:hAnsi="Garamond" w:cs="Arial"/>
          <w:color w:val="000000"/>
        </w:rPr>
        <w:t xml:space="preserve"> pazienti. Tuttavia, la tossicità correlata al trattamento terapeutico ha un forte impatto in termini </w:t>
      </w:r>
      <w:r w:rsidR="00A961C9" w:rsidRPr="0071124B">
        <w:rPr>
          <w:rFonts w:ascii="Garamond" w:hAnsi="Garamond" w:cs="Arial"/>
          <w:color w:val="000000"/>
        </w:rPr>
        <w:t xml:space="preserve">di </w:t>
      </w:r>
      <w:r w:rsidR="007C3C42" w:rsidRPr="0071124B">
        <w:rPr>
          <w:rFonts w:ascii="Garamond" w:hAnsi="Garamond" w:cs="Arial"/>
          <w:color w:val="000000"/>
        </w:rPr>
        <w:t xml:space="preserve">effetti collaterali </w:t>
      </w:r>
      <w:r w:rsidR="00A961C9" w:rsidRPr="0071124B">
        <w:rPr>
          <w:rFonts w:ascii="Garamond" w:hAnsi="Garamond" w:cs="Arial"/>
          <w:color w:val="000000"/>
        </w:rPr>
        <w:t>che includono, ma</w:t>
      </w:r>
      <w:r w:rsidR="007C3C42" w:rsidRPr="0071124B">
        <w:rPr>
          <w:rFonts w:ascii="Garamond" w:hAnsi="Garamond" w:cs="Arial"/>
          <w:color w:val="000000"/>
        </w:rPr>
        <w:t xml:space="preserve"> non sono gli unici,  declino cognitivo con perdita di circa 4</w:t>
      </w:r>
      <w:r w:rsidR="00A961C9" w:rsidRPr="0071124B">
        <w:rPr>
          <w:rFonts w:ascii="Garamond" w:hAnsi="Garamond" w:cs="Arial"/>
          <w:color w:val="000000"/>
        </w:rPr>
        <w:t xml:space="preserve"> punti </w:t>
      </w:r>
      <w:r w:rsidR="007C3C42" w:rsidRPr="0071124B">
        <w:rPr>
          <w:rFonts w:ascii="Garamond" w:hAnsi="Garamond" w:cs="Arial"/>
          <w:color w:val="000000"/>
        </w:rPr>
        <w:t>IQ per ann</w:t>
      </w:r>
      <w:r w:rsidR="00A961C9" w:rsidRPr="0071124B">
        <w:rPr>
          <w:rFonts w:ascii="Garamond" w:hAnsi="Garamond" w:cs="Arial"/>
          <w:color w:val="000000"/>
        </w:rPr>
        <w:t xml:space="preserve">o, squilibri endocrini e </w:t>
      </w:r>
      <w:r w:rsidR="00C40D7C" w:rsidRPr="0071124B">
        <w:rPr>
          <w:rFonts w:ascii="Garamond" w:hAnsi="Garamond" w:cs="Arial"/>
          <w:color w:val="000000"/>
        </w:rPr>
        <w:t>cor</w:t>
      </w:r>
      <w:r w:rsidR="00A961C9" w:rsidRPr="0071124B">
        <w:rPr>
          <w:rFonts w:ascii="Garamond" w:hAnsi="Garamond" w:cs="Arial"/>
          <w:color w:val="000000"/>
        </w:rPr>
        <w:t>relati</w:t>
      </w:r>
      <w:r w:rsidR="007C3C42" w:rsidRPr="0071124B">
        <w:rPr>
          <w:rFonts w:ascii="Garamond" w:hAnsi="Garamond" w:cs="Arial"/>
          <w:color w:val="000000"/>
        </w:rPr>
        <w:t xml:space="preserve"> alla crescita, perdita dell’udito e insorgenza di neoplasie secondarie</w:t>
      </w:r>
      <w:r w:rsidR="00A961C9" w:rsidRPr="0071124B">
        <w:rPr>
          <w:rFonts w:ascii="Garamond" w:hAnsi="Garamond" w:cs="Arial"/>
          <w:color w:val="000000"/>
        </w:rPr>
        <w:t>,</w:t>
      </w:r>
      <w:r w:rsidR="007C3C42" w:rsidRPr="0071124B">
        <w:rPr>
          <w:rFonts w:ascii="Garamond" w:hAnsi="Garamond" w:cs="Arial"/>
          <w:color w:val="000000"/>
        </w:rPr>
        <w:t xml:space="preserve"> tutto ci</w:t>
      </w:r>
      <w:r w:rsidR="00A961C9" w:rsidRPr="0071124B">
        <w:rPr>
          <w:rFonts w:ascii="Garamond" w:hAnsi="Garamond" w:cs="Arial"/>
          <w:color w:val="000000"/>
        </w:rPr>
        <w:t>ò</w:t>
      </w:r>
      <w:r w:rsidR="007C3C42" w:rsidRPr="0071124B">
        <w:rPr>
          <w:rFonts w:ascii="Garamond" w:hAnsi="Garamond" w:cs="Arial"/>
          <w:color w:val="000000"/>
        </w:rPr>
        <w:t xml:space="preserve"> portando ad un</w:t>
      </w:r>
      <w:r w:rsidR="00A961C9" w:rsidRPr="0071124B">
        <w:rPr>
          <w:rFonts w:ascii="Garamond" w:hAnsi="Garamond" w:cs="Arial"/>
          <w:color w:val="000000"/>
        </w:rPr>
        <w:t>a</w:t>
      </w:r>
      <w:r w:rsidR="007C3C42" w:rsidRPr="0071124B">
        <w:rPr>
          <w:rFonts w:ascii="Garamond" w:hAnsi="Garamond" w:cs="Arial"/>
          <w:color w:val="000000"/>
        </w:rPr>
        <w:t xml:space="preserve"> significativ</w:t>
      </w:r>
      <w:r w:rsidR="00A961C9" w:rsidRPr="0071124B">
        <w:rPr>
          <w:rFonts w:ascii="Garamond" w:hAnsi="Garamond" w:cs="Arial"/>
          <w:color w:val="000000"/>
        </w:rPr>
        <w:t>a</w:t>
      </w:r>
      <w:r w:rsidR="007C3C42" w:rsidRPr="0071124B">
        <w:rPr>
          <w:rFonts w:ascii="Garamond" w:hAnsi="Garamond" w:cs="Arial"/>
          <w:color w:val="000000"/>
        </w:rPr>
        <w:t xml:space="preserve"> diminuzione della qualità di vita. Pertanto </w:t>
      </w:r>
      <w:r w:rsidR="00C40D7C" w:rsidRPr="0071124B">
        <w:rPr>
          <w:rFonts w:ascii="Garamond" w:hAnsi="Garamond" w:cs="Arial"/>
          <w:color w:val="000000"/>
        </w:rPr>
        <w:t>è</w:t>
      </w:r>
      <w:r w:rsidR="007C3C42" w:rsidRPr="0071124B">
        <w:rPr>
          <w:rFonts w:ascii="Garamond" w:hAnsi="Garamond" w:cs="Arial"/>
          <w:color w:val="000000"/>
        </w:rPr>
        <w:t xml:space="preserve"> fondamentale poter definire strategie terapeutiche alternative in grado di ridurre al minimo la tossicità d</w:t>
      </w:r>
      <w:r w:rsidR="00391E21" w:rsidRPr="0071124B">
        <w:rPr>
          <w:rFonts w:ascii="Garamond" w:hAnsi="Garamond" w:cs="Arial"/>
          <w:color w:val="000000"/>
        </w:rPr>
        <w:t>e</w:t>
      </w:r>
      <w:r w:rsidR="007C3C42" w:rsidRPr="0071124B">
        <w:rPr>
          <w:rFonts w:ascii="Garamond" w:hAnsi="Garamond" w:cs="Arial"/>
          <w:color w:val="000000"/>
        </w:rPr>
        <w:t>i trattamenti di lunga durata.  In tale ottica appare di</w:t>
      </w:r>
      <w:r w:rsidR="00391E21" w:rsidRPr="0071124B">
        <w:rPr>
          <w:rFonts w:ascii="Garamond" w:hAnsi="Garamond" w:cs="Arial"/>
          <w:color w:val="000000"/>
        </w:rPr>
        <w:t xml:space="preserve"> fondamentale importanza una più</w:t>
      </w:r>
      <w:r w:rsidR="007C3C42" w:rsidRPr="0071124B">
        <w:rPr>
          <w:rFonts w:ascii="Garamond" w:hAnsi="Garamond" w:cs="Arial"/>
          <w:color w:val="000000"/>
        </w:rPr>
        <w:t xml:space="preserve"> precisa definizione della stratificazione del rischio che fino ad oggi </w:t>
      </w:r>
      <w:r w:rsidR="00C40D7C" w:rsidRPr="0071124B">
        <w:rPr>
          <w:rFonts w:ascii="Garamond" w:hAnsi="Garamond" w:cs="Arial"/>
          <w:color w:val="000000"/>
        </w:rPr>
        <w:t>si è</w:t>
      </w:r>
      <w:r w:rsidR="00391E21" w:rsidRPr="0071124B">
        <w:rPr>
          <w:rFonts w:ascii="Garamond" w:hAnsi="Garamond" w:cs="Arial"/>
          <w:color w:val="000000"/>
        </w:rPr>
        <w:t xml:space="preserve"> basata fon</w:t>
      </w:r>
      <w:r w:rsidR="007C3C42" w:rsidRPr="0071124B">
        <w:rPr>
          <w:rFonts w:ascii="Garamond" w:hAnsi="Garamond" w:cs="Arial"/>
          <w:color w:val="000000"/>
        </w:rPr>
        <w:t>damentalmente su criteri di tipo clinico ed istopatologico (et</w:t>
      </w:r>
      <w:r w:rsidR="00391E21" w:rsidRPr="0071124B">
        <w:rPr>
          <w:rFonts w:ascii="Garamond" w:hAnsi="Garamond" w:cs="Arial"/>
          <w:color w:val="000000"/>
        </w:rPr>
        <w:t>à</w:t>
      </w:r>
      <w:r w:rsidR="007C3C42" w:rsidRPr="0071124B">
        <w:rPr>
          <w:rFonts w:ascii="Garamond" w:hAnsi="Garamond" w:cs="Arial"/>
          <w:color w:val="000000"/>
        </w:rPr>
        <w:t xml:space="preserve"> di insorgenza, presenza di metastasi alla diagnosi e presenza di residuo neoplastico dopo la resezione chirurgica). </w:t>
      </w:r>
      <w:r w:rsidR="001B3085" w:rsidRPr="0071124B">
        <w:rPr>
          <w:rFonts w:ascii="Garamond" w:hAnsi="Garamond" w:cs="Arial"/>
          <w:color w:val="000000"/>
        </w:rPr>
        <w:t>I pazienti ve</w:t>
      </w:r>
      <w:r w:rsidR="00391E21" w:rsidRPr="0071124B">
        <w:rPr>
          <w:rFonts w:ascii="Garamond" w:hAnsi="Garamond" w:cs="Arial"/>
          <w:color w:val="000000"/>
        </w:rPr>
        <w:t>ngono cosi divisi in due classi:</w:t>
      </w:r>
      <w:r w:rsidR="001B3085" w:rsidRPr="0071124B">
        <w:rPr>
          <w:rFonts w:ascii="Garamond" w:hAnsi="Garamond" w:cs="Arial"/>
          <w:color w:val="000000"/>
        </w:rPr>
        <w:t xml:space="preserve"> </w:t>
      </w:r>
      <w:r w:rsidR="00BF0B32" w:rsidRPr="0071124B">
        <w:rPr>
          <w:rFonts w:ascii="Garamond" w:hAnsi="Garamond" w:cs="Arial"/>
          <w:color w:val="000000"/>
        </w:rPr>
        <w:t xml:space="preserve">ad alto </w:t>
      </w:r>
      <w:r w:rsidR="00391E21" w:rsidRPr="0071124B">
        <w:rPr>
          <w:rFonts w:ascii="Garamond" w:hAnsi="Garamond" w:cs="Arial"/>
          <w:color w:val="000000"/>
        </w:rPr>
        <w:t xml:space="preserve">rischio </w:t>
      </w:r>
      <w:r w:rsidR="00BF0B32" w:rsidRPr="0071124B">
        <w:rPr>
          <w:rFonts w:ascii="Garamond" w:hAnsi="Garamond" w:cs="Arial"/>
          <w:color w:val="000000"/>
        </w:rPr>
        <w:t>(metastasi alla diagnosi, et</w:t>
      </w:r>
      <w:r w:rsidR="00391E21" w:rsidRPr="0071124B">
        <w:rPr>
          <w:rFonts w:ascii="Garamond" w:hAnsi="Garamond" w:cs="Arial"/>
          <w:color w:val="000000"/>
        </w:rPr>
        <w:t>à &lt;3 anni e tumore residuo</w:t>
      </w:r>
      <w:r w:rsidR="00C40D7C" w:rsidRPr="0071124B">
        <w:rPr>
          <w:rFonts w:ascii="Garamond" w:hAnsi="Garamond" w:cs="Arial"/>
          <w:color w:val="000000"/>
        </w:rPr>
        <w:t xml:space="preserve"> </w:t>
      </w:r>
      <w:r w:rsidR="00BF0B32" w:rsidRPr="0071124B">
        <w:rPr>
          <w:rFonts w:ascii="Garamond" w:hAnsi="Garamond" w:cs="Arial"/>
          <w:color w:val="000000"/>
        </w:rPr>
        <w:t xml:space="preserve">&gt;1,5cm) e a rischio </w:t>
      </w:r>
      <w:r w:rsidR="00C40D7C" w:rsidRPr="0071124B">
        <w:rPr>
          <w:rFonts w:ascii="Garamond" w:hAnsi="Garamond" w:cs="Arial"/>
          <w:color w:val="000000"/>
        </w:rPr>
        <w:t>“</w:t>
      </w:r>
      <w:r w:rsidR="00BF0B32" w:rsidRPr="0071124B">
        <w:rPr>
          <w:rFonts w:ascii="Garamond" w:hAnsi="Garamond" w:cs="Arial"/>
          <w:color w:val="000000"/>
        </w:rPr>
        <w:t>standard</w:t>
      </w:r>
      <w:r w:rsidR="00C40D7C" w:rsidRPr="0071124B">
        <w:rPr>
          <w:rFonts w:ascii="Garamond" w:hAnsi="Garamond" w:cs="Arial"/>
          <w:color w:val="000000"/>
        </w:rPr>
        <w:t>”</w:t>
      </w:r>
      <w:r w:rsidR="00BF0B32" w:rsidRPr="0071124B">
        <w:rPr>
          <w:rFonts w:ascii="Garamond" w:hAnsi="Garamond" w:cs="Arial"/>
          <w:color w:val="000000"/>
        </w:rPr>
        <w:t xml:space="preserve">. </w:t>
      </w:r>
      <w:r w:rsidR="00C725C1" w:rsidRPr="0071124B">
        <w:rPr>
          <w:rFonts w:ascii="Garamond" w:hAnsi="Garamond" w:cs="Arial"/>
          <w:color w:val="000000"/>
        </w:rPr>
        <w:t xml:space="preserve">La classificazione istologica ha sicuramente introdotto parametri per una migliore definizione della prognosi ed in particolare una diagnosi istopatologica di </w:t>
      </w:r>
      <w:r w:rsidR="00391E21" w:rsidRPr="0071124B">
        <w:rPr>
          <w:rFonts w:ascii="Garamond" w:hAnsi="Garamond" w:cs="Arial"/>
          <w:color w:val="000000"/>
        </w:rPr>
        <w:t>MB</w:t>
      </w:r>
      <w:r w:rsidR="00C725C1" w:rsidRPr="0071124B">
        <w:rPr>
          <w:rFonts w:ascii="Garamond" w:hAnsi="Garamond" w:cs="Arial"/>
          <w:color w:val="000000"/>
        </w:rPr>
        <w:t xml:space="preserve"> a grandi cellule o anaplastico si associa all’alto rischi</w:t>
      </w:r>
      <w:r w:rsidR="00391E21" w:rsidRPr="0071124B">
        <w:rPr>
          <w:rFonts w:ascii="Garamond" w:hAnsi="Garamond" w:cs="Arial"/>
          <w:color w:val="000000"/>
        </w:rPr>
        <w:t>o</w:t>
      </w:r>
      <w:r w:rsidR="00C725C1" w:rsidRPr="0071124B">
        <w:rPr>
          <w:rFonts w:ascii="Garamond" w:hAnsi="Garamond" w:cs="Arial"/>
          <w:color w:val="000000"/>
        </w:rPr>
        <w:t xml:space="preserve">, mentre la diagnosi di MB </w:t>
      </w:r>
      <w:proofErr w:type="spellStart"/>
      <w:r w:rsidR="00C725C1" w:rsidRPr="0071124B">
        <w:rPr>
          <w:rFonts w:ascii="Garamond" w:hAnsi="Garamond" w:cs="Arial"/>
          <w:color w:val="000000"/>
        </w:rPr>
        <w:t>desmoplastico</w:t>
      </w:r>
      <w:proofErr w:type="spellEnd"/>
      <w:r w:rsidR="00C725C1" w:rsidRPr="0071124B">
        <w:rPr>
          <w:rFonts w:ascii="Garamond" w:hAnsi="Garamond" w:cs="Arial"/>
          <w:color w:val="000000"/>
        </w:rPr>
        <w:t xml:space="preserve"> o ad estesa </w:t>
      </w:r>
      <w:proofErr w:type="spellStart"/>
      <w:r w:rsidR="00C725C1" w:rsidRPr="0071124B">
        <w:rPr>
          <w:rFonts w:ascii="Garamond" w:hAnsi="Garamond" w:cs="Arial"/>
          <w:color w:val="000000"/>
        </w:rPr>
        <w:t>nodularit</w:t>
      </w:r>
      <w:r w:rsidR="00BB493A" w:rsidRPr="0071124B">
        <w:rPr>
          <w:rFonts w:ascii="Garamond" w:hAnsi="Garamond" w:cs="Arial"/>
          <w:color w:val="000000"/>
        </w:rPr>
        <w:t>à</w:t>
      </w:r>
      <w:proofErr w:type="spellEnd"/>
      <w:r w:rsidR="00C725C1" w:rsidRPr="0071124B">
        <w:rPr>
          <w:rFonts w:ascii="Garamond" w:hAnsi="Garamond" w:cs="Arial"/>
          <w:color w:val="000000"/>
        </w:rPr>
        <w:t xml:space="preserve"> si associa al rischio </w:t>
      </w:r>
      <w:r w:rsidR="00BB493A" w:rsidRPr="0071124B">
        <w:rPr>
          <w:rFonts w:ascii="Garamond" w:hAnsi="Garamond" w:cs="Arial"/>
          <w:color w:val="000000"/>
        </w:rPr>
        <w:t>“</w:t>
      </w:r>
      <w:r w:rsidR="00C725C1" w:rsidRPr="0071124B">
        <w:rPr>
          <w:rFonts w:ascii="Garamond" w:hAnsi="Garamond" w:cs="Arial"/>
          <w:color w:val="000000"/>
        </w:rPr>
        <w:t>standard</w:t>
      </w:r>
      <w:r w:rsidR="00BB493A" w:rsidRPr="0071124B">
        <w:rPr>
          <w:rFonts w:ascii="Garamond" w:hAnsi="Garamond" w:cs="Arial"/>
          <w:color w:val="000000"/>
        </w:rPr>
        <w:t>”</w:t>
      </w:r>
      <w:r w:rsidR="00391E21" w:rsidRPr="0071124B">
        <w:rPr>
          <w:rFonts w:ascii="Garamond" w:hAnsi="Garamond" w:cs="Arial"/>
          <w:color w:val="000000"/>
        </w:rPr>
        <w:t>, q</w:t>
      </w:r>
      <w:r w:rsidR="00C725C1" w:rsidRPr="0071124B">
        <w:rPr>
          <w:rFonts w:ascii="Garamond" w:hAnsi="Garamond" w:cs="Arial"/>
          <w:color w:val="000000"/>
        </w:rPr>
        <w:t>uindi</w:t>
      </w:r>
      <w:r w:rsidR="00391E21" w:rsidRPr="0071124B">
        <w:rPr>
          <w:rFonts w:ascii="Garamond" w:hAnsi="Garamond" w:cs="Arial"/>
          <w:color w:val="000000"/>
        </w:rPr>
        <w:t>,</w:t>
      </w:r>
      <w:r w:rsidR="00C725C1" w:rsidRPr="0071124B">
        <w:rPr>
          <w:rFonts w:ascii="Garamond" w:hAnsi="Garamond" w:cs="Arial"/>
          <w:color w:val="000000"/>
        </w:rPr>
        <w:t xml:space="preserve"> ad una prognosi pi</w:t>
      </w:r>
      <w:r w:rsidR="00391E21" w:rsidRPr="0071124B">
        <w:rPr>
          <w:rFonts w:ascii="Garamond" w:hAnsi="Garamond" w:cs="Arial"/>
          <w:color w:val="000000"/>
        </w:rPr>
        <w:t>ù</w:t>
      </w:r>
      <w:r w:rsidR="00C725C1" w:rsidRPr="0071124B">
        <w:rPr>
          <w:rFonts w:ascii="Garamond" w:hAnsi="Garamond" w:cs="Arial"/>
          <w:color w:val="000000"/>
        </w:rPr>
        <w:t xml:space="preserve"> favorevole.  Recentemente fattori molecolari come l’espressione nucleare della </w:t>
      </w:r>
      <w:r w:rsidR="00A961C9" w:rsidRPr="0071124B">
        <w:rPr>
          <w:rFonts w:ascii="Garamond" w:hAnsi="Garamond" w:cs="Arial"/>
          <w:color w:val="000000"/>
        </w:rPr>
        <w:t>ß</w:t>
      </w:r>
      <w:r w:rsidR="00C725C1" w:rsidRPr="0071124B">
        <w:rPr>
          <w:rFonts w:ascii="Garamond" w:hAnsi="Garamond" w:cs="Arial"/>
          <w:color w:val="000000"/>
        </w:rPr>
        <w:t xml:space="preserve">-catenina ed un aumentato livello di espressione dell’RNA messaggero  del recettore della </w:t>
      </w:r>
      <w:proofErr w:type="spellStart"/>
      <w:r w:rsidR="00391E21" w:rsidRPr="0071124B">
        <w:rPr>
          <w:rFonts w:ascii="Garamond" w:hAnsi="Garamond" w:cs="Arial"/>
          <w:color w:val="000000"/>
        </w:rPr>
        <w:t>neurotrofin</w:t>
      </w:r>
      <w:r w:rsidR="00C725C1" w:rsidRPr="0071124B">
        <w:rPr>
          <w:rFonts w:ascii="Garamond" w:hAnsi="Garamond" w:cs="Arial"/>
          <w:color w:val="000000"/>
        </w:rPr>
        <w:t>a</w:t>
      </w:r>
      <w:proofErr w:type="spellEnd"/>
      <w:r w:rsidR="00C725C1" w:rsidRPr="0071124B">
        <w:rPr>
          <w:rFonts w:ascii="Garamond" w:hAnsi="Garamond" w:cs="Arial"/>
          <w:color w:val="000000"/>
        </w:rPr>
        <w:t xml:space="preserve">, </w:t>
      </w:r>
      <w:proofErr w:type="spellStart"/>
      <w:r w:rsidR="00C725C1" w:rsidRPr="0071124B">
        <w:rPr>
          <w:rFonts w:ascii="Garamond" w:hAnsi="Garamond" w:cs="Arial"/>
          <w:color w:val="000000"/>
        </w:rPr>
        <w:t>TrkC</w:t>
      </w:r>
      <w:proofErr w:type="spellEnd"/>
      <w:r w:rsidR="00391E21" w:rsidRPr="0071124B">
        <w:rPr>
          <w:rFonts w:ascii="Garamond" w:hAnsi="Garamond" w:cs="Arial"/>
          <w:color w:val="000000"/>
        </w:rPr>
        <w:t>,</w:t>
      </w:r>
      <w:r w:rsidR="00C725C1" w:rsidRPr="0071124B">
        <w:rPr>
          <w:rFonts w:ascii="Garamond" w:hAnsi="Garamond" w:cs="Arial"/>
          <w:color w:val="000000"/>
        </w:rPr>
        <w:t xml:space="preserve"> sono stati oggetto di approfondimento </w:t>
      </w:r>
      <w:r w:rsidR="00391E21" w:rsidRPr="0071124B">
        <w:rPr>
          <w:rFonts w:ascii="Garamond" w:hAnsi="Garamond" w:cs="Arial"/>
          <w:color w:val="000000"/>
        </w:rPr>
        <w:t>e</w:t>
      </w:r>
      <w:r w:rsidR="00C725C1" w:rsidRPr="0071124B">
        <w:rPr>
          <w:rFonts w:ascii="Garamond" w:hAnsi="Garamond" w:cs="Arial"/>
          <w:color w:val="000000"/>
        </w:rPr>
        <w:t xml:space="preserve"> correlati ad un </w:t>
      </w:r>
      <w:proofErr w:type="spellStart"/>
      <w:r w:rsidR="00391E21" w:rsidRPr="0071124B">
        <w:rPr>
          <w:rFonts w:ascii="Garamond" w:hAnsi="Garamond" w:cs="Arial"/>
          <w:color w:val="000000"/>
        </w:rPr>
        <w:t>out</w:t>
      </w:r>
      <w:r w:rsidR="00C725C1" w:rsidRPr="0071124B">
        <w:rPr>
          <w:rFonts w:ascii="Garamond" w:hAnsi="Garamond" w:cs="Arial"/>
          <w:color w:val="000000"/>
        </w:rPr>
        <w:t>come</w:t>
      </w:r>
      <w:proofErr w:type="spellEnd"/>
      <w:r w:rsidR="00C725C1" w:rsidRPr="0071124B">
        <w:rPr>
          <w:rFonts w:ascii="Garamond" w:hAnsi="Garamond" w:cs="Arial"/>
          <w:color w:val="000000"/>
        </w:rPr>
        <w:t xml:space="preserve"> favorevole, mentre tumori con amplificazione di c-</w:t>
      </w:r>
      <w:proofErr w:type="spellStart"/>
      <w:r w:rsidR="00C725C1" w:rsidRPr="0071124B">
        <w:rPr>
          <w:rFonts w:ascii="Garamond" w:hAnsi="Garamond" w:cs="Arial"/>
          <w:color w:val="000000"/>
        </w:rPr>
        <w:t>myc</w:t>
      </w:r>
      <w:proofErr w:type="spellEnd"/>
      <w:r w:rsidR="00C725C1" w:rsidRPr="0071124B">
        <w:rPr>
          <w:rFonts w:ascii="Garamond" w:hAnsi="Garamond" w:cs="Arial"/>
          <w:color w:val="000000"/>
        </w:rPr>
        <w:t xml:space="preserve"> e squilibri del cromosoma 17 mostrano una prognosi peggiore.  </w:t>
      </w:r>
      <w:r w:rsidR="00BF0B32" w:rsidRPr="0071124B">
        <w:rPr>
          <w:rFonts w:ascii="Garamond" w:hAnsi="Garamond" w:cs="Arial"/>
          <w:color w:val="000000"/>
        </w:rPr>
        <w:t xml:space="preserve">Nonostante gli indubbi vantaggi derivanti da tale </w:t>
      </w:r>
      <w:r w:rsidR="00BF0B32" w:rsidRPr="0071124B">
        <w:rPr>
          <w:rFonts w:ascii="Garamond" w:hAnsi="Garamond" w:cs="Arial"/>
          <w:color w:val="000000"/>
        </w:rPr>
        <w:lastRenderedPageBreak/>
        <w:t>classificazione clinica la risposta ai trattamenti terapeutici e l’</w:t>
      </w:r>
      <w:proofErr w:type="spellStart"/>
      <w:r w:rsidR="00BF0B32" w:rsidRPr="0071124B">
        <w:rPr>
          <w:rFonts w:ascii="Garamond" w:hAnsi="Garamond" w:cs="Arial"/>
          <w:color w:val="000000"/>
        </w:rPr>
        <w:t>outcome</w:t>
      </w:r>
      <w:proofErr w:type="spellEnd"/>
      <w:r w:rsidR="00BF0B32" w:rsidRPr="0071124B">
        <w:rPr>
          <w:rFonts w:ascii="Garamond" w:hAnsi="Garamond" w:cs="Arial"/>
          <w:color w:val="000000"/>
        </w:rPr>
        <w:t xml:space="preserve"> dei pazienti </w:t>
      </w:r>
      <w:r w:rsidR="00391E21" w:rsidRPr="0071124B">
        <w:rPr>
          <w:rFonts w:ascii="Garamond" w:hAnsi="Garamond" w:cs="Arial"/>
          <w:color w:val="000000"/>
        </w:rPr>
        <w:t>è sempre eterogeneo limitato</w:t>
      </w:r>
      <w:r w:rsidR="00BF0B32" w:rsidRPr="0071124B">
        <w:rPr>
          <w:rFonts w:ascii="Garamond" w:hAnsi="Garamond" w:cs="Arial"/>
          <w:color w:val="000000"/>
        </w:rPr>
        <w:t xml:space="preserve"> anche da fattori non identificati di radio e chemio</w:t>
      </w:r>
      <w:r w:rsidR="00391E21" w:rsidRPr="0071124B">
        <w:rPr>
          <w:rFonts w:ascii="Garamond" w:hAnsi="Garamond" w:cs="Arial"/>
          <w:color w:val="000000"/>
        </w:rPr>
        <w:t>-resistenza. M</w:t>
      </w:r>
      <w:r w:rsidR="00C725C1" w:rsidRPr="0071124B">
        <w:rPr>
          <w:rFonts w:ascii="Garamond" w:hAnsi="Garamond" w:cs="Arial"/>
          <w:color w:val="000000"/>
        </w:rPr>
        <w:t>entre i trattamenti terapeutici non hanno subito modifica</w:t>
      </w:r>
      <w:r w:rsidR="00391E21" w:rsidRPr="0071124B">
        <w:rPr>
          <w:rFonts w:ascii="Garamond" w:hAnsi="Garamond" w:cs="Arial"/>
          <w:color w:val="000000"/>
        </w:rPr>
        <w:t>z</w:t>
      </w:r>
      <w:r w:rsidR="00C725C1" w:rsidRPr="0071124B">
        <w:rPr>
          <w:rFonts w:ascii="Garamond" w:hAnsi="Garamond" w:cs="Arial"/>
          <w:color w:val="000000"/>
        </w:rPr>
        <w:t>ioni considerevoli, negli ultimi anni molti progressi sono stati fatti nella comprensione dei complessi meccanismi molecolari e nella biologia del tumore che hanno portato ad una</w:t>
      </w:r>
      <w:r w:rsidR="00391E21" w:rsidRPr="0071124B">
        <w:rPr>
          <w:rFonts w:ascii="Garamond" w:hAnsi="Garamond" w:cs="Arial"/>
          <w:color w:val="000000"/>
        </w:rPr>
        <w:t xml:space="preserve"> più</w:t>
      </w:r>
      <w:r w:rsidR="00C725C1" w:rsidRPr="0071124B">
        <w:rPr>
          <w:rFonts w:ascii="Garamond" w:hAnsi="Garamond" w:cs="Arial"/>
          <w:color w:val="000000"/>
        </w:rPr>
        <w:t xml:space="preserve"> precisa definizione delle cla</w:t>
      </w:r>
      <w:r w:rsidR="00391E21" w:rsidRPr="0071124B">
        <w:rPr>
          <w:rFonts w:ascii="Garamond" w:hAnsi="Garamond" w:cs="Arial"/>
          <w:color w:val="000000"/>
        </w:rPr>
        <w:t>s</w:t>
      </w:r>
      <w:r w:rsidR="00C725C1" w:rsidRPr="0071124B">
        <w:rPr>
          <w:rFonts w:ascii="Garamond" w:hAnsi="Garamond" w:cs="Arial"/>
          <w:color w:val="000000"/>
        </w:rPr>
        <w:t>si di rischio e risultano promettenti per l</w:t>
      </w:r>
      <w:r w:rsidR="00391E21" w:rsidRPr="0071124B">
        <w:rPr>
          <w:rFonts w:ascii="Garamond" w:hAnsi="Garamond" w:cs="Arial"/>
          <w:color w:val="000000"/>
        </w:rPr>
        <w:t>’</w:t>
      </w:r>
      <w:r w:rsidR="00C725C1" w:rsidRPr="0071124B">
        <w:rPr>
          <w:rFonts w:ascii="Garamond" w:hAnsi="Garamond" w:cs="Arial"/>
          <w:color w:val="000000"/>
        </w:rPr>
        <w:t xml:space="preserve"> individuazione di mar</w:t>
      </w:r>
      <w:r w:rsidR="008C57B6" w:rsidRPr="0071124B">
        <w:rPr>
          <w:rFonts w:ascii="Garamond" w:hAnsi="Garamond" w:cs="Arial"/>
          <w:color w:val="000000"/>
        </w:rPr>
        <w:t xml:space="preserve">ker terapeutici </w:t>
      </w:r>
      <w:r w:rsidR="00C725C1" w:rsidRPr="0071124B">
        <w:rPr>
          <w:rFonts w:ascii="Garamond" w:hAnsi="Garamond" w:cs="Arial"/>
          <w:color w:val="000000"/>
        </w:rPr>
        <w:t xml:space="preserve">personalizzati </w:t>
      </w:r>
      <w:r w:rsidR="00391E21" w:rsidRPr="0071124B">
        <w:rPr>
          <w:rFonts w:ascii="Garamond" w:hAnsi="Garamond" w:cs="Arial"/>
          <w:color w:val="000000"/>
        </w:rPr>
        <w:t xml:space="preserve">che </w:t>
      </w:r>
      <w:r w:rsidR="00C725C1" w:rsidRPr="0071124B">
        <w:rPr>
          <w:rFonts w:ascii="Garamond" w:hAnsi="Garamond" w:cs="Arial"/>
          <w:color w:val="000000"/>
        </w:rPr>
        <w:t>port</w:t>
      </w:r>
      <w:r w:rsidR="00391E21" w:rsidRPr="0071124B">
        <w:rPr>
          <w:rFonts w:ascii="Garamond" w:hAnsi="Garamond" w:cs="Arial"/>
          <w:color w:val="000000"/>
        </w:rPr>
        <w:t>erebbero</w:t>
      </w:r>
      <w:r w:rsidR="00C725C1" w:rsidRPr="0071124B">
        <w:rPr>
          <w:rFonts w:ascii="Garamond" w:hAnsi="Garamond" w:cs="Arial"/>
          <w:color w:val="000000"/>
        </w:rPr>
        <w:t xml:space="preserve"> ad una profonda rivoluzione di paradigma nell’approccio al MB. </w:t>
      </w:r>
    </w:p>
    <w:p w:rsidR="00EA4B9A" w:rsidRPr="0071124B" w:rsidRDefault="00430FA5" w:rsidP="000C38C2">
      <w:pPr>
        <w:pStyle w:val="Corpodeltesto21"/>
        <w:spacing w:line="360" w:lineRule="auto"/>
        <w:rPr>
          <w:rFonts w:ascii="Garamond" w:hAnsi="Garamond" w:cs="Arial"/>
          <w:sz w:val="22"/>
          <w:szCs w:val="22"/>
          <w:lang w:val="it-IT"/>
        </w:rPr>
      </w:pP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L’approccio molecolare allo studio del 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MB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ha portato negli ultimi anni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,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 sulla base di tecniche di genomica/</w:t>
      </w:r>
      <w:proofErr w:type="spellStart"/>
      <w:r w:rsidR="00C26EF1" w:rsidRPr="0071124B">
        <w:rPr>
          <w:rFonts w:ascii="Garamond" w:hAnsi="Garamond" w:cs="Arial"/>
          <w:color w:val="000000"/>
          <w:sz w:val="22"/>
          <w:szCs w:val="22"/>
          <w:lang w:val="it-IT"/>
        </w:rPr>
        <w:t>trascrip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>tomica</w:t>
      </w:r>
      <w:proofErr w:type="spellEnd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alla suddivisione del MB in sottogruppi che sicuramente permetteranno di introdurre </w:t>
      </w:r>
      <w:r w:rsidR="00BB493A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marcatori molecolari 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nei </w:t>
      </w:r>
      <w:r w:rsidR="00BB493A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futuri 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>trials</w:t>
      </w:r>
      <w:r w:rsidR="00BB493A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clinici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. Il sottogruppo A 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è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caratterizzato in particolare dal </w:t>
      </w:r>
      <w:proofErr w:type="spellStart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>pathway</w:t>
      </w:r>
      <w:proofErr w:type="spellEnd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di </w:t>
      </w:r>
      <w:proofErr w:type="spellStart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>signalling</w:t>
      </w:r>
      <w:proofErr w:type="spellEnd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WNT, il sottogruppo B dal </w:t>
      </w:r>
      <w:proofErr w:type="spellStart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>pathway</w:t>
      </w:r>
      <w:proofErr w:type="spellEnd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</w:t>
      </w:r>
      <w:proofErr w:type="spellStart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>Hh</w:t>
      </w:r>
      <w:proofErr w:type="spellEnd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e i sottogruppi C e D dall’espressione di marcatori di differenzia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z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ione neuronale e di geni di fotorecettori. Nel MB  il </w:t>
      </w:r>
      <w:proofErr w:type="spellStart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>pathway</w:t>
      </w:r>
      <w:proofErr w:type="spellEnd"/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WNT 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è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attivato in modo aberrante in circa il 18-25% dei tumori e questo sottogruppo appare caratter</w:t>
      </w:r>
      <w:r w:rsidR="00C26EF1" w:rsidRPr="0071124B">
        <w:rPr>
          <w:rFonts w:ascii="Garamond" w:hAnsi="Garamond" w:cs="Arial"/>
          <w:color w:val="000000"/>
          <w:sz w:val="22"/>
          <w:szCs w:val="22"/>
          <w:lang w:val="it-IT"/>
        </w:rPr>
        <w:t>i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>zzato da un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’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>et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à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di incidenza del tumore tra 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i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6 e 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i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12 anni, dalla positività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di espressione di </w:t>
      </w:r>
      <w:r w:rsidR="00A961C9" w:rsidRPr="0071124B">
        <w:rPr>
          <w:rFonts w:ascii="Garamond" w:hAnsi="Garamond" w:cs="Arial"/>
          <w:color w:val="000000"/>
          <w:sz w:val="22"/>
          <w:szCs w:val="22"/>
          <w:lang w:val="it-IT"/>
        </w:rPr>
        <w:t>ß</w:t>
      </w:r>
      <w:r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catenina </w:t>
      </w:r>
      <w:r w:rsidR="00C26EF1" w:rsidRPr="0071124B">
        <w:rPr>
          <w:rFonts w:ascii="Garamond" w:hAnsi="Garamond" w:cs="Arial"/>
          <w:color w:val="000000"/>
          <w:sz w:val="22"/>
          <w:szCs w:val="22"/>
          <w:lang w:val="it-IT"/>
        </w:rPr>
        <w:t>nuclear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e</w:t>
      </w:r>
      <w:r w:rsidR="00C26EF1" w:rsidRPr="0071124B">
        <w:rPr>
          <w:rFonts w:ascii="Garamond" w:hAnsi="Garamond" w:cs="Arial"/>
          <w:color w:val="000000"/>
          <w:sz w:val="22"/>
          <w:szCs w:val="22"/>
          <w:lang w:val="it-IT"/>
        </w:rPr>
        <w:t>, dall’tipo istologico classic</w:t>
      </w:r>
      <w:r w:rsidR="00EA4B9A" w:rsidRPr="0071124B">
        <w:rPr>
          <w:rFonts w:ascii="Garamond" w:hAnsi="Garamond" w:cs="Arial"/>
          <w:color w:val="000000"/>
          <w:sz w:val="22"/>
          <w:szCs w:val="22"/>
          <w:lang w:val="it-IT"/>
        </w:rPr>
        <w:t>o</w:t>
      </w:r>
      <w:r w:rsidR="00C26EF1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 e 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dal</w:t>
      </w:r>
      <w:r w:rsidR="00C26EF1" w:rsidRPr="0071124B">
        <w:rPr>
          <w:rFonts w:ascii="Garamond" w:hAnsi="Garamond" w:cs="Arial"/>
          <w:color w:val="000000"/>
          <w:sz w:val="22"/>
          <w:szCs w:val="22"/>
          <w:lang w:val="it-IT"/>
        </w:rPr>
        <w:t>la presenza di metastasi alla d</w:t>
      </w:r>
      <w:r w:rsidR="00EA4B9A" w:rsidRPr="0071124B">
        <w:rPr>
          <w:rFonts w:ascii="Garamond" w:hAnsi="Garamond" w:cs="Arial"/>
          <w:color w:val="000000"/>
          <w:sz w:val="22"/>
          <w:szCs w:val="22"/>
          <w:lang w:val="it-IT"/>
        </w:rPr>
        <w:t>iagnosi pi</w:t>
      </w:r>
      <w:r w:rsidR="008C57B6" w:rsidRPr="0071124B">
        <w:rPr>
          <w:rFonts w:ascii="Garamond" w:hAnsi="Garamond" w:cs="Arial"/>
          <w:color w:val="000000"/>
          <w:sz w:val="22"/>
          <w:szCs w:val="22"/>
          <w:lang w:val="it-IT"/>
        </w:rPr>
        <w:t>ù</w:t>
      </w:r>
      <w:r w:rsidR="00EA4B9A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bassa rispet</w:t>
      </w:r>
      <w:r w:rsidR="00C26EF1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to agli altri sottogruppi. </w:t>
      </w:r>
      <w:r w:rsidR="0038720E" w:rsidRPr="0071124B">
        <w:rPr>
          <w:rFonts w:ascii="Garamond" w:hAnsi="Garamond" w:cs="Arial"/>
          <w:color w:val="000000"/>
          <w:sz w:val="22"/>
          <w:szCs w:val="22"/>
          <w:lang w:val="it-IT"/>
        </w:rPr>
        <w:t>Il pi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ù</w:t>
      </w:r>
      <w:r w:rsidR="0038720E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importante effetto dell’attivazione del sistema WNT sembra essere legato</w:t>
      </w:r>
      <w:r w:rsidR="008C57B6" w:rsidRPr="0071124B">
        <w:rPr>
          <w:rFonts w:ascii="Garamond" w:hAnsi="Garamond" w:cs="Arial"/>
          <w:color w:val="000000"/>
          <w:sz w:val="22"/>
          <w:szCs w:val="22"/>
          <w:lang w:val="it-IT"/>
        </w:rPr>
        <w:t>, nel sottogruppo A,</w:t>
      </w:r>
      <w:r w:rsidR="0038720E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ad un’acquisizione da parte delle cellule di una minore capacit</w:t>
      </w:r>
      <w:r w:rsidR="00391E21" w:rsidRPr="0071124B">
        <w:rPr>
          <w:rFonts w:ascii="Garamond" w:hAnsi="Garamond" w:cs="Arial"/>
          <w:color w:val="000000"/>
          <w:sz w:val="22"/>
          <w:szCs w:val="22"/>
          <w:lang w:val="it-IT"/>
        </w:rPr>
        <w:t>à</w:t>
      </w:r>
      <w:r w:rsidR="0038720E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</w:t>
      </w:r>
      <w:r w:rsidR="003576D8" w:rsidRPr="0071124B">
        <w:rPr>
          <w:rFonts w:ascii="Garamond" w:hAnsi="Garamond" w:cs="Arial"/>
          <w:color w:val="000000"/>
          <w:sz w:val="22"/>
          <w:szCs w:val="22"/>
          <w:lang w:val="it-IT"/>
        </w:rPr>
        <w:t>invasiva</w:t>
      </w:r>
      <w:r w:rsidR="0038720E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 </w:t>
      </w:r>
      <w:r w:rsidR="00833CE2" w:rsidRPr="0071124B">
        <w:rPr>
          <w:rFonts w:ascii="Garamond" w:hAnsi="Garamond" w:cs="Arial"/>
          <w:color w:val="000000"/>
          <w:sz w:val="22"/>
          <w:szCs w:val="22"/>
          <w:lang w:val="it-IT"/>
        </w:rPr>
        <w:t>come evidenziato sperimentalme</w:t>
      </w:r>
      <w:r w:rsidR="0038720E" w:rsidRPr="0071124B">
        <w:rPr>
          <w:rFonts w:ascii="Garamond" w:hAnsi="Garamond" w:cs="Arial"/>
          <w:color w:val="000000"/>
          <w:sz w:val="22"/>
          <w:szCs w:val="22"/>
          <w:lang w:val="it-IT"/>
        </w:rPr>
        <w:t>nte che potrebbe giustificare la bassa frequenza di malattia metasta</w:t>
      </w:r>
      <w:r w:rsidR="00833CE2" w:rsidRPr="0071124B">
        <w:rPr>
          <w:rFonts w:ascii="Garamond" w:hAnsi="Garamond" w:cs="Arial"/>
          <w:color w:val="000000"/>
          <w:sz w:val="22"/>
          <w:szCs w:val="22"/>
          <w:lang w:val="it-IT"/>
        </w:rPr>
        <w:t>t</w:t>
      </w:r>
      <w:r w:rsidR="0038720E" w:rsidRPr="0071124B">
        <w:rPr>
          <w:rFonts w:ascii="Garamond" w:hAnsi="Garamond" w:cs="Arial"/>
          <w:color w:val="000000"/>
          <w:sz w:val="22"/>
          <w:szCs w:val="22"/>
          <w:lang w:val="it-IT"/>
        </w:rPr>
        <w:t xml:space="preserve">ica alla diagnosi. </w:t>
      </w:r>
    </w:p>
    <w:p w:rsidR="000C38C2" w:rsidRPr="0071124B" w:rsidRDefault="00391E21" w:rsidP="008C57B6">
      <w:pPr>
        <w:pStyle w:val="Pa12"/>
        <w:spacing w:line="360" w:lineRule="auto"/>
        <w:ind w:hanging="6"/>
        <w:contextualSpacing/>
        <w:jc w:val="both"/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</w:pPr>
      <w:r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Gli enzimi </w:t>
      </w:r>
      <w:proofErr w:type="spellStart"/>
      <w:r w:rsidR="008C57B6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p</w:t>
      </w:r>
      <w:r w:rsidR="000C38C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oly</w:t>
      </w:r>
      <w:proofErr w:type="spellEnd"/>
      <w:r w:rsidR="000C38C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ADP-</w:t>
      </w:r>
      <w:proofErr w:type="spellStart"/>
      <w:r w:rsidR="000C38C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ribose</w:t>
      </w:r>
      <w:proofErr w:type="spellEnd"/>
      <w:r w:rsidR="000C38C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</w:t>
      </w:r>
      <w:proofErr w:type="spellStart"/>
      <w:r w:rsidR="000C38C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polymerase</w:t>
      </w:r>
      <w:proofErr w:type="spellEnd"/>
      <w:r w:rsidR="000C38C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(</w:t>
      </w:r>
      <w:proofErr w:type="spellStart"/>
      <w:r w:rsidR="000C38C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PARPs</w:t>
      </w:r>
      <w:proofErr w:type="spellEnd"/>
      <w:r w:rsidR="000C38C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) </w:t>
      </w:r>
      <w:r w:rsidR="00833CE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costituiscono una superfamiglia di protein</w:t>
      </w:r>
      <w:r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e</w:t>
      </w:r>
      <w:r w:rsidR="00833CE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coinvolte nel meccanismo della </w:t>
      </w:r>
      <w:proofErr w:type="spellStart"/>
      <w:r w:rsidR="00833CE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parsilazione</w:t>
      </w:r>
      <w:proofErr w:type="spellEnd"/>
      <w:r w:rsidR="00833CE2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che gioca un ruolo molto importante</w:t>
      </w:r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in numerosi meccanismi cellulari tra cui la </w:t>
      </w:r>
      <w:r w:rsidR="008C57B6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individuazione</w:t>
      </w:r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del danno </w:t>
      </w:r>
      <w:r w:rsidR="008C57B6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al</w:t>
      </w:r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DNA ed il suo riparo. In particolare</w:t>
      </w:r>
      <w:r w:rsidR="008C57B6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,</w:t>
      </w:r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un membro di tale famiglia</w:t>
      </w:r>
      <w:r w:rsidR="008C57B6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,</w:t>
      </w:r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la PARP5</w:t>
      </w:r>
      <w:r w:rsidR="008C57B6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,</w:t>
      </w:r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altrimenti conosciuta come </w:t>
      </w:r>
      <w:proofErr w:type="spellStart"/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Tanchirasi</w:t>
      </w:r>
      <w:proofErr w:type="spellEnd"/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, TNKS,</w:t>
      </w:r>
      <w:r w:rsidR="008C57B6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</w:t>
      </w:r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risulta un regolatore del </w:t>
      </w:r>
      <w:proofErr w:type="spellStart"/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pathway</w:t>
      </w:r>
      <w:proofErr w:type="spellEnd"/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di WN</w:t>
      </w:r>
      <w:r w:rsidR="008C57B6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T inducendo la degradazione di </w:t>
      </w:r>
      <w:proofErr w:type="spellStart"/>
      <w:r w:rsidR="008C57B6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a</w:t>
      </w:r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xina</w:t>
      </w:r>
      <w:proofErr w:type="spellEnd"/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nel citoplasma e portando quindi a stabilizzazione della </w:t>
      </w:r>
      <w:r w:rsidR="00A961C9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>ß</w:t>
      </w:r>
      <w:r w:rsidR="00CE072B" w:rsidRPr="0071124B">
        <w:rPr>
          <w:rFonts w:ascii="Garamond" w:eastAsia="Times New Roman" w:hAnsi="Garamond" w:cs="Arial"/>
          <w:color w:val="000000"/>
          <w:kern w:val="1"/>
          <w:sz w:val="22"/>
          <w:szCs w:val="22"/>
          <w:lang w:eastAsia="zh-CN"/>
        </w:rPr>
        <w:t xml:space="preserve"> catenina che trasloca al nucleo attivandone la funzione di trascrizione. </w:t>
      </w:r>
    </w:p>
    <w:p w:rsidR="00833CE2" w:rsidRPr="0071124B" w:rsidRDefault="00CE072B" w:rsidP="008C57B6">
      <w:pPr>
        <w:spacing w:line="360" w:lineRule="auto"/>
        <w:jc w:val="both"/>
        <w:rPr>
          <w:rFonts w:ascii="Garamond" w:eastAsia="Times New Roman" w:hAnsi="Garamond" w:cs="Arial"/>
          <w:color w:val="000000"/>
          <w:kern w:val="1"/>
          <w:lang w:eastAsia="zh-CN"/>
        </w:rPr>
      </w:pP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Quindi l’inibizione di </w:t>
      </w:r>
      <w:r w:rsidR="000C38C2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TNKS 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an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t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agonizza WNT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: 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è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stato dimostrato </w:t>
      </w:r>
      <w:r w:rsidR="00BB493A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che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tale sistema viene attivato in modo aberrante anche nel MB </w:t>
      </w:r>
      <w:proofErr w:type="spellStart"/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desmoplastico</w:t>
      </w:r>
      <w:proofErr w:type="spellEnd"/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(sottogruppo B) confermando quindi il ruolo importante e verosimilmente ambiguo di WNT nel MB. </w:t>
      </w:r>
      <w:r w:rsidR="000C38C2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Le radiazioni ionizzanti inducono danno nella doppia elica del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DNA: l’utilizzo di farmaci 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radio-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sensibilizzanti 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è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correlato alla capacit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di riparo del DNA che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inibita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potrebbe rappresen</w:t>
      </w:r>
      <w:r w:rsidR="00BB493A" w:rsidRPr="0071124B">
        <w:rPr>
          <w:rFonts w:ascii="Garamond" w:eastAsia="Times New Roman" w:hAnsi="Garamond" w:cs="Arial"/>
          <w:color w:val="000000"/>
          <w:kern w:val="1"/>
          <w:lang w:eastAsia="zh-CN"/>
        </w:rPr>
        <w:t>tare un meccanismo per aumentar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e l’</w:t>
      </w:r>
      <w:r w:rsidR="00BB493A" w:rsidRPr="0071124B">
        <w:rPr>
          <w:rFonts w:ascii="Garamond" w:eastAsia="Times New Roman" w:hAnsi="Garamond" w:cs="Arial"/>
          <w:color w:val="000000"/>
          <w:kern w:val="1"/>
          <w:lang w:eastAsia="zh-CN"/>
        </w:rPr>
        <w:t>efficacia della terapia con conseguente riduzione del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le dosi </w:t>
      </w:r>
      <w:r w:rsidR="00BB493A" w:rsidRPr="0071124B">
        <w:rPr>
          <w:rFonts w:ascii="Garamond" w:eastAsia="Times New Roman" w:hAnsi="Garamond" w:cs="Arial"/>
          <w:color w:val="000000"/>
          <w:kern w:val="1"/>
          <w:lang w:eastAsia="zh-CN"/>
        </w:rPr>
        <w:t>e calo di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tossicit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à.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Il nostro lavoro di ricerca si 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è quindi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proposto di testare l’efficacia di un inibitore altamente specifico di TNKS  rappresentato da</w:t>
      </w:r>
      <w:r w:rsidR="00BB493A" w:rsidRPr="0071124B">
        <w:rPr>
          <w:rFonts w:ascii="Garamond" w:eastAsia="Times New Roman" w:hAnsi="Garamond" w:cs="Arial"/>
          <w:color w:val="000000"/>
          <w:kern w:val="1"/>
          <w:lang w:eastAsia="zh-CN"/>
        </w:rPr>
        <w:t>lla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t xml:space="preserve">small </w:t>
      </w:r>
      <w:proofErr w:type="spellStart"/>
      <w:r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t>molecule</w:t>
      </w:r>
      <w:proofErr w:type="spellEnd"/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, XAV939, in un modello </w:t>
      </w:r>
      <w:r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t>in vitro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costituito da linee cellulari di MB umano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, </w:t>
      </w:r>
      <w:r w:rsidR="00BB493A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per 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valuta</w:t>
      </w:r>
      <w:r w:rsidR="00BB493A" w:rsidRPr="0071124B">
        <w:rPr>
          <w:rFonts w:ascii="Garamond" w:eastAsia="Times New Roman" w:hAnsi="Garamond" w:cs="Arial"/>
          <w:color w:val="000000"/>
          <w:kern w:val="1"/>
          <w:lang w:eastAsia="zh-CN"/>
        </w:rPr>
        <w:t>rne le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sua 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>potenzialit</w:t>
      </w:r>
      <w:r w:rsidR="008C57B6"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come  radio sensibilizzante</w:t>
      </w:r>
    </w:p>
    <w:p w:rsidR="00B8010E" w:rsidRPr="0071124B" w:rsidRDefault="003576D8" w:rsidP="00430FA5">
      <w:pPr>
        <w:spacing w:line="360" w:lineRule="auto"/>
        <w:rPr>
          <w:rFonts w:ascii="Garamond" w:eastAsia="Times New Roman" w:hAnsi="Garamond" w:cs="Arial"/>
          <w:color w:val="000000"/>
          <w:kern w:val="1"/>
          <w:u w:val="single"/>
          <w:lang w:eastAsia="zh-CN"/>
        </w:rPr>
      </w:pPr>
      <w:r w:rsidRPr="0071124B">
        <w:rPr>
          <w:rFonts w:ascii="Garamond" w:eastAsia="Times New Roman" w:hAnsi="Garamond" w:cs="Arial"/>
          <w:color w:val="000000"/>
          <w:kern w:val="1"/>
          <w:u w:val="single"/>
          <w:lang w:eastAsia="zh-CN"/>
        </w:rPr>
        <w:t>Materiali e Metodi</w:t>
      </w:r>
    </w:p>
    <w:p w:rsidR="00E77E23" w:rsidRPr="0071124B" w:rsidRDefault="00B8010E" w:rsidP="00430FA5">
      <w:pPr>
        <w:spacing w:line="360" w:lineRule="auto"/>
        <w:rPr>
          <w:rFonts w:ascii="Garamond" w:eastAsia="Times New Roman" w:hAnsi="Garamond" w:cs="Arial"/>
          <w:color w:val="000000"/>
          <w:kern w:val="1"/>
          <w:lang w:eastAsia="zh-CN"/>
        </w:rPr>
      </w:pP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L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>e line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e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cel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lulari di MB umano, DAOY and ONS-76 sono state trattate con  XAV939 e/o radiazioni ionizzanti, RI, (raggi γ alla dose di 2 </w:t>
      </w:r>
      <w:proofErr w:type="spellStart"/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>Gy</w:t>
      </w:r>
      <w:proofErr w:type="spellEnd"/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): </w:t>
      </w:r>
      <w:r w:rsidR="00DA706D" w:rsidRPr="0071124B">
        <w:rPr>
          <w:rFonts w:ascii="Garamond" w:eastAsia="Times New Roman" w:hAnsi="Garamond" w:cs="Arial"/>
          <w:color w:val="000000"/>
          <w:kern w:val="1"/>
          <w:lang w:eastAsia="zh-CN"/>
        </w:rPr>
        <w:t>sono stati valutate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la capacit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proliferativa, la curva di crescita, la mortalità cellulare e la capacit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DA706D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di formare colonie aderenti. Sono state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inoltre </w:t>
      </w:r>
      <w:r w:rsidR="007612BB" w:rsidRPr="0071124B">
        <w:rPr>
          <w:rFonts w:ascii="Garamond" w:eastAsia="Times New Roman" w:hAnsi="Garamond" w:cs="Arial"/>
          <w:color w:val="000000"/>
          <w:kern w:val="1"/>
          <w:lang w:eastAsia="zh-CN"/>
        </w:rPr>
        <w:t>studiate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l’espressione</w:t>
      </w:r>
      <w:r w:rsidR="007612BB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mediante Western </w:t>
      </w:r>
      <w:proofErr w:type="spellStart"/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>Blotting</w:t>
      </w:r>
      <w:proofErr w:type="spellEnd"/>
      <w:r w:rsidR="007612BB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di 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proofErr w:type="spellStart"/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>Axin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>a</w:t>
      </w:r>
      <w:proofErr w:type="spellEnd"/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>, β-catenin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>a e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DNA-</w:t>
      </w:r>
      <w:proofErr w:type="spellStart"/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>PKcs</w:t>
      </w:r>
      <w:proofErr w:type="spellEnd"/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>in risposta al trattamento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C2245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con 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XAV939. </w:t>
      </w:r>
    </w:p>
    <w:p w:rsidR="00B8010E" w:rsidRPr="0071124B" w:rsidRDefault="00E77E23" w:rsidP="00E77E23">
      <w:pPr>
        <w:pStyle w:val="Predefinito"/>
        <w:spacing w:line="480" w:lineRule="auto"/>
        <w:jc w:val="both"/>
        <w:rPr>
          <w:rFonts w:ascii="Garamond" w:eastAsia="Times New Roman" w:hAnsi="Garamond" w:cs="Arial"/>
          <w:color w:val="000000"/>
          <w:kern w:val="1"/>
          <w:lang w:eastAsia="zh-CN"/>
        </w:rPr>
      </w:pPr>
      <w:r w:rsidRPr="0071124B">
        <w:rPr>
          <w:rFonts w:ascii="Garamond" w:eastAsia="Times New Roman" w:hAnsi="Garamond" w:cs="Arial"/>
          <w:color w:val="000000"/>
          <w:kern w:val="1"/>
          <w:u w:val="single"/>
          <w:lang w:eastAsia="zh-CN"/>
        </w:rPr>
        <w:t>Risultati</w:t>
      </w:r>
    </w:p>
    <w:p w:rsidR="00E77E23" w:rsidRPr="0071124B" w:rsidRDefault="00B8010E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color w:val="000000"/>
          <w:kern w:val="1"/>
          <w:lang w:eastAsia="zh-CN"/>
        </w:rPr>
      </w:pP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lastRenderedPageBreak/>
        <w:t>I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l trattamento con 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XAV939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sul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>le linee cellulari di MB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risulta nell'inibizione del </w:t>
      </w:r>
      <w:proofErr w:type="spellStart"/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>pathway</w:t>
      </w:r>
      <w:proofErr w:type="spellEnd"/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di WNT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>, in un consistente c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al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>o delle capacit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proofErr w:type="spellStart"/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>clonogeniche</w:t>
      </w:r>
      <w:proofErr w:type="spellEnd"/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e proliferative delle cellule neoplastiche non correlate ad un increment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o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della mortalità cellular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e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>, ci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ò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dimostra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ndone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una bassa tossicità. Il co-trattamento 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>XAV939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e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RI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induce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un ulterior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e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inibizione della proliferazione cellular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e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e della capacit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di formare colonie: evidentemente XAV939 inibisce l’eff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i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cacia di riparo del DNA dopo l’irradiazione. Non </w:t>
      </w:r>
      <w:r w:rsidR="007612BB" w:rsidRPr="0071124B">
        <w:rPr>
          <w:rFonts w:ascii="Garamond" w:eastAsia="Times New Roman" w:hAnsi="Garamond" w:cs="Arial"/>
          <w:color w:val="000000"/>
          <w:kern w:val="1"/>
          <w:lang w:eastAsia="zh-CN"/>
        </w:rPr>
        <w:t>è stato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osservato un significativo aumento della mortalità rispetto alle cellule di controllo. 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In seguito alla somministrazione di una seconda dose di RI 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(2 </w:t>
      </w:r>
      <w:proofErr w:type="spellStart"/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>Gy</w:t>
      </w:r>
      <w:proofErr w:type="spellEnd"/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), 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>nelle linee trattate anche con</w:t>
      </w:r>
      <w:r w:rsidR="003576D8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XAV939 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la mortalit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E77E23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cellulare appare raddoppiata rispetto ai controlli. </w:t>
      </w:r>
    </w:p>
    <w:p w:rsidR="00833CE2" w:rsidRPr="0071124B" w:rsidRDefault="00CF03EB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color w:val="000000"/>
          <w:kern w:val="1"/>
          <w:u w:val="single"/>
          <w:lang w:eastAsia="zh-CN"/>
        </w:rPr>
      </w:pPr>
      <w:r w:rsidRPr="0071124B">
        <w:rPr>
          <w:rFonts w:ascii="Garamond" w:eastAsia="Times New Roman" w:hAnsi="Garamond" w:cs="Arial"/>
          <w:color w:val="000000"/>
          <w:kern w:val="1"/>
          <w:u w:val="single"/>
          <w:lang w:eastAsia="zh-CN"/>
        </w:rPr>
        <w:t>Discussione e Conclusioni</w:t>
      </w:r>
    </w:p>
    <w:p w:rsidR="00843EEC" w:rsidRPr="0071124B" w:rsidRDefault="00CF03EB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color w:val="000000"/>
          <w:kern w:val="1"/>
          <w:lang w:eastAsia="zh-CN"/>
        </w:rPr>
      </w:pP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Recentemente è cresciuto l’interesse dei ricercatori nei confronti delle protein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>e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della famiglia PARP per il loro 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importante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coinvolgimen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t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o nei meccan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i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smi di riparo del DNA. Gli inibitori di PARP vengono quindi 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>sviluppati e studiati come sensibilizzanti alla chemio o radioterapia e potenziali n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uovi farmaci per futuri trials (p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>er alcuni di essi si parla di valutazione di fase III).</w:t>
      </w:r>
      <w:r w:rsidR="00A961C9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>Inoltre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studi  </w:t>
      </w:r>
      <w:r w:rsidR="00843EEC"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t>in vitro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ed </w:t>
      </w:r>
      <w:r w:rsidR="00843EEC"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t>in vivo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hanno dimostrato che  l’inibizione del </w:t>
      </w:r>
      <w:proofErr w:type="spellStart"/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>pathway</w:t>
      </w:r>
      <w:proofErr w:type="spellEnd"/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di WNT (mediante </w:t>
      </w:r>
      <w:r w:rsidR="00843EEC"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t xml:space="preserve">small </w:t>
      </w:r>
      <w:proofErr w:type="spellStart"/>
      <w:r w:rsidR="00843EEC"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t>molecules</w:t>
      </w:r>
      <w:proofErr w:type="spellEnd"/>
      <w:r w:rsidR="00843EEC"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t xml:space="preserve"> 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>con attivit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su PPA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un diretto regolatore di </w:t>
      </w:r>
      <w:r w:rsidR="00A961C9" w:rsidRPr="0071124B">
        <w:rPr>
          <w:rFonts w:ascii="Garamond" w:eastAsia="Times New Roman" w:hAnsi="Garamond" w:cs="Arial"/>
          <w:color w:val="000000"/>
          <w:kern w:val="1"/>
          <w:lang w:eastAsia="zh-CN"/>
        </w:rPr>
        <w:t>ß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catenina, o contro il </w:t>
      </w:r>
      <w:proofErr w:type="spellStart"/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>pathway</w:t>
      </w:r>
      <w:proofErr w:type="spellEnd"/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PI3K/</w:t>
      </w:r>
      <w:proofErr w:type="spellStart"/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>Akt</w:t>
      </w:r>
      <w:proofErr w:type="spellEnd"/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che interferisce con WNT mediante  un cross-talk con GSK-3β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),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sopprim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e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la crescita del MB, promuovendo l’arresto del ciclo cellulare ed attivando l’apoptosi. La valutazione della proliferazione cellulare dopo </w:t>
      </w:r>
      <w:r w:rsidR="007612BB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RI 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>viene quindi considerata un valido test per definire la radiosensibilità e dare informazioni utili sulle capacit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843EEC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proliferative delle cellule superstiti. </w:t>
      </w:r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>I nostro dati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quindi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suggeriscono che l’inibizione di TNKS induce un aumento della radiosensibilità delle linee cellulari di MB</w:t>
      </w:r>
      <w:r w:rsidR="007612BB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e </w:t>
      </w:r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>diminuzione della capacit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proofErr w:type="spellStart"/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clono</w:t>
      </w:r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>genica</w:t>
      </w:r>
      <w:proofErr w:type="spellEnd"/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in seguito anche all’associazione con il trattamento RI. 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Ip</w:t>
      </w:r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>otizziamo che la tale sensibilità sia indotta da una minore capacit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à</w:t>
      </w:r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di riparo del DNA: a tale scopo abbiamo utilizzato un saggio di </w:t>
      </w:r>
      <w:proofErr w:type="spellStart"/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>Comet</w:t>
      </w:r>
      <w:proofErr w:type="spellEnd"/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proofErr w:type="spellStart"/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>Assay</w:t>
      </w:r>
      <w:proofErr w:type="spellEnd"/>
      <w:r w:rsidR="0050346A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per evidenziare e quantificare il danno al DNA.</w:t>
      </w:r>
    </w:p>
    <w:p w:rsidR="00CF03EB" w:rsidRPr="0071124B" w:rsidRDefault="0050346A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color w:val="000000"/>
          <w:kern w:val="1"/>
          <w:lang w:eastAsia="zh-CN"/>
        </w:rPr>
      </w:pP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In conclusione il trattamento con </w:t>
      </w:r>
      <w:r w:rsidR="00CF03EB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XAV939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promuove la soppressione dell’attiv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i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tà di</w:t>
      </w:r>
      <w:r w:rsidR="00CF03EB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TNKS PARP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e quindi di conseguenza quella di </w:t>
      </w:r>
      <w:r w:rsidR="00CF03EB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WNT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e del </w:t>
      </w:r>
      <w:proofErr w:type="spellStart"/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pathway</w:t>
      </w:r>
      <w:proofErr w:type="spellEnd"/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di</w:t>
      </w:r>
      <w:r w:rsidR="00CF03EB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DNA-PK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che sign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i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fica in ultima analisi un miglioramento della radiosensibilità delle </w:t>
      </w:r>
      <w:r w:rsidR="007612BB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linee cellulari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di MB. L’inibizione di TNKS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infatti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altera la potenzialità proliferativa e di formazione di cloni ed aumenta la mortalità cellulare. Considerati </w:t>
      </w:r>
      <w:r w:rsidR="007612BB" w:rsidRPr="0071124B">
        <w:rPr>
          <w:rFonts w:ascii="Garamond" w:eastAsia="Times New Roman" w:hAnsi="Garamond" w:cs="Arial"/>
          <w:color w:val="000000"/>
          <w:kern w:val="1"/>
          <w:lang w:eastAsia="zh-CN"/>
        </w:rPr>
        <w:t>nell’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insieme i nostri dati ottenuti dalla sperimentazione in vitro suggeriscono che </w:t>
      </w:r>
      <w:r w:rsidR="00CF03EB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TNKS 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possa rappresentare quindi un target potenziale per il miglioram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ento dell’efficacia dell’approccio terapeutico tradizionale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>.  Inoltre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possono costituire la base per ulteriori studi </w:t>
      </w:r>
      <w:r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t>in vivo</w:t>
      </w:r>
      <w:r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</w:t>
      </w:r>
      <w:r w:rsidR="00A961C9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volti alla validazione della efficienza del trattamento radioterapico 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per </w:t>
      </w:r>
      <w:r w:rsidR="00A961C9" w:rsidRPr="0071124B">
        <w:rPr>
          <w:rFonts w:ascii="Garamond" w:eastAsia="Times New Roman" w:hAnsi="Garamond" w:cs="Arial"/>
          <w:color w:val="000000"/>
          <w:kern w:val="1"/>
          <w:lang w:eastAsia="zh-CN"/>
        </w:rPr>
        <w:t>ridurne contestualmente la dose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,</w:t>
      </w:r>
      <w:r w:rsidR="00A961C9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pur mantene</w:t>
      </w:r>
      <w:r w:rsidR="00B8010E" w:rsidRPr="0071124B">
        <w:rPr>
          <w:rFonts w:ascii="Garamond" w:eastAsia="Times New Roman" w:hAnsi="Garamond" w:cs="Arial"/>
          <w:color w:val="000000"/>
          <w:kern w:val="1"/>
          <w:lang w:eastAsia="zh-CN"/>
        </w:rPr>
        <w:t>n</w:t>
      </w:r>
      <w:r w:rsidR="00A961C9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done l’efficacia e </w:t>
      </w:r>
      <w:r w:rsidR="00482566" w:rsidRPr="0071124B">
        <w:rPr>
          <w:rFonts w:ascii="Garamond" w:eastAsia="Times New Roman" w:hAnsi="Garamond" w:cs="Arial"/>
          <w:color w:val="000000"/>
          <w:kern w:val="1"/>
          <w:lang w:eastAsia="zh-CN"/>
        </w:rPr>
        <w:t>diminuendone</w:t>
      </w:r>
      <w:r w:rsidR="00A961C9" w:rsidRPr="0071124B">
        <w:rPr>
          <w:rFonts w:ascii="Garamond" w:eastAsia="Times New Roman" w:hAnsi="Garamond" w:cs="Arial"/>
          <w:color w:val="000000"/>
          <w:kern w:val="1"/>
          <w:lang w:eastAsia="zh-CN"/>
        </w:rPr>
        <w:t xml:space="preserve"> gli effetti tossici nei lungo sopravviventi.  </w:t>
      </w:r>
    </w:p>
    <w:p w:rsidR="0071124B" w:rsidRDefault="0071124B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i/>
          <w:color w:val="000000"/>
          <w:kern w:val="1"/>
          <w:lang w:eastAsia="zh-CN"/>
        </w:rPr>
      </w:pPr>
    </w:p>
    <w:p w:rsidR="0071124B" w:rsidRDefault="0071124B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i/>
          <w:color w:val="000000"/>
          <w:kern w:val="1"/>
          <w:lang w:eastAsia="zh-CN"/>
        </w:rPr>
      </w:pPr>
    </w:p>
    <w:p w:rsidR="0071124B" w:rsidRDefault="0071124B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i/>
          <w:color w:val="000000"/>
          <w:kern w:val="1"/>
          <w:lang w:eastAsia="zh-CN"/>
        </w:rPr>
      </w:pPr>
    </w:p>
    <w:p w:rsidR="0071124B" w:rsidRDefault="0071124B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i/>
          <w:color w:val="000000"/>
          <w:kern w:val="1"/>
          <w:lang w:eastAsia="zh-CN"/>
        </w:rPr>
      </w:pPr>
    </w:p>
    <w:p w:rsidR="0071124B" w:rsidRDefault="0071124B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i/>
          <w:color w:val="000000"/>
          <w:kern w:val="1"/>
          <w:lang w:eastAsia="zh-CN"/>
        </w:rPr>
      </w:pPr>
    </w:p>
    <w:p w:rsidR="00331D13" w:rsidRPr="0071124B" w:rsidRDefault="00331D13" w:rsidP="00544540">
      <w:pPr>
        <w:pStyle w:val="Predefinito"/>
        <w:spacing w:line="360" w:lineRule="auto"/>
        <w:jc w:val="both"/>
        <w:rPr>
          <w:rFonts w:ascii="Garamond" w:eastAsia="Times New Roman" w:hAnsi="Garamond" w:cs="Arial"/>
          <w:i/>
          <w:color w:val="000000"/>
          <w:kern w:val="1"/>
          <w:lang w:eastAsia="zh-CN"/>
        </w:rPr>
      </w:pPr>
      <w:r w:rsidRPr="0071124B">
        <w:rPr>
          <w:rFonts w:ascii="Garamond" w:eastAsia="Times New Roman" w:hAnsi="Garamond" w:cs="Arial"/>
          <w:i/>
          <w:color w:val="000000"/>
          <w:kern w:val="1"/>
          <w:lang w:eastAsia="zh-CN"/>
        </w:rPr>
        <w:lastRenderedPageBreak/>
        <w:t>Bibliografia essenziale</w:t>
      </w:r>
    </w:p>
    <w:p w:rsidR="008155DD" w:rsidRPr="0071124B" w:rsidRDefault="008155DD" w:rsidP="008155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Garamond" w:hAnsi="Garamond" w:cs="Arial"/>
          <w:iCs/>
          <w:lang w:val="en-US"/>
        </w:rPr>
      </w:pPr>
      <w:proofErr w:type="spellStart"/>
      <w:r w:rsidRPr="0071124B">
        <w:rPr>
          <w:rFonts w:ascii="Garamond" w:hAnsi="Garamond" w:cs="Arial"/>
          <w:iCs/>
        </w:rPr>
        <w:t>Dregalla</w:t>
      </w:r>
      <w:proofErr w:type="spellEnd"/>
      <w:r w:rsidRPr="0071124B">
        <w:rPr>
          <w:rFonts w:ascii="Garamond" w:hAnsi="Garamond" w:cs="Arial"/>
          <w:iCs/>
        </w:rPr>
        <w:t xml:space="preserve"> RC, Zhou J, </w:t>
      </w:r>
      <w:proofErr w:type="spellStart"/>
      <w:r w:rsidRPr="0071124B">
        <w:rPr>
          <w:rFonts w:ascii="Garamond" w:hAnsi="Garamond" w:cs="Arial"/>
          <w:iCs/>
        </w:rPr>
        <w:t>Idate</w:t>
      </w:r>
      <w:proofErr w:type="spellEnd"/>
      <w:r w:rsidRPr="0071124B">
        <w:rPr>
          <w:rFonts w:ascii="Garamond" w:hAnsi="Garamond" w:cs="Arial"/>
          <w:iCs/>
        </w:rPr>
        <w:t xml:space="preserve"> RR., Battaglia CLR</w:t>
      </w:r>
      <w:r w:rsidR="006C56EC" w:rsidRPr="0071124B">
        <w:rPr>
          <w:rFonts w:ascii="Garamond" w:hAnsi="Garamond" w:cs="Arial"/>
          <w:iCs/>
        </w:rPr>
        <w:t>,</w:t>
      </w:r>
      <w:r w:rsidRPr="0071124B">
        <w:rPr>
          <w:rFonts w:ascii="Garamond" w:hAnsi="Garamond" w:cs="Arial"/>
          <w:iCs/>
        </w:rPr>
        <w:t xml:space="preserve"> </w:t>
      </w:r>
      <w:r w:rsidR="006C56EC" w:rsidRPr="0071124B">
        <w:rPr>
          <w:rFonts w:ascii="Garamond" w:hAnsi="Garamond" w:cs="Arial"/>
          <w:iCs/>
        </w:rPr>
        <w:t>e</w:t>
      </w:r>
      <w:r w:rsidR="00E94BFB" w:rsidRPr="0071124B">
        <w:rPr>
          <w:rFonts w:ascii="Garamond" w:hAnsi="Garamond" w:cs="Arial"/>
          <w:iCs/>
        </w:rPr>
        <w:t>t Al.</w:t>
      </w:r>
      <w:r w:rsidRPr="0071124B">
        <w:rPr>
          <w:rFonts w:ascii="Garamond" w:hAnsi="Garamond" w:cs="Arial"/>
          <w:iCs/>
        </w:rPr>
        <w:t xml:space="preserve"> </w:t>
      </w:r>
      <w:r w:rsidR="00E94BFB" w:rsidRPr="0071124B">
        <w:rPr>
          <w:rFonts w:ascii="Garamond" w:hAnsi="Garamond" w:cs="Arial"/>
          <w:iCs/>
          <w:lang w:val="en-US"/>
        </w:rPr>
        <w:t xml:space="preserve">(2010) </w:t>
      </w:r>
      <w:r w:rsidRPr="0071124B">
        <w:rPr>
          <w:rFonts w:ascii="Garamond" w:hAnsi="Garamond" w:cs="Arial"/>
          <w:iCs/>
          <w:lang w:val="en-US"/>
        </w:rPr>
        <w:t xml:space="preserve">Regulatory roles of </w:t>
      </w:r>
      <w:proofErr w:type="spellStart"/>
      <w:r w:rsidRPr="0071124B">
        <w:rPr>
          <w:rFonts w:ascii="Garamond" w:hAnsi="Garamond" w:cs="Arial"/>
          <w:iCs/>
          <w:lang w:val="en-US"/>
        </w:rPr>
        <w:t>tankyrase</w:t>
      </w:r>
      <w:proofErr w:type="spellEnd"/>
      <w:r w:rsidRPr="0071124B">
        <w:rPr>
          <w:rFonts w:ascii="Garamond" w:hAnsi="Garamond" w:cs="Arial"/>
          <w:iCs/>
          <w:lang w:val="en-US"/>
        </w:rPr>
        <w:t xml:space="preserve"> 1 at telomeres and in DNA repair: suppression of T-SCE and stabilization of DNA-</w:t>
      </w:r>
      <w:proofErr w:type="spellStart"/>
      <w:r w:rsidRPr="0071124B">
        <w:rPr>
          <w:rFonts w:ascii="Garamond" w:hAnsi="Garamond" w:cs="Arial"/>
          <w:iCs/>
          <w:lang w:val="en-US"/>
        </w:rPr>
        <w:t>PKcs</w:t>
      </w:r>
      <w:proofErr w:type="spellEnd"/>
      <w:r w:rsidRPr="0071124B">
        <w:rPr>
          <w:rFonts w:ascii="Garamond" w:hAnsi="Garamond" w:cs="Arial"/>
          <w:iCs/>
          <w:lang w:val="en-US"/>
        </w:rPr>
        <w:t>. Aging, 2, 691-708</w:t>
      </w:r>
    </w:p>
    <w:p w:rsidR="00694E1D" w:rsidRPr="0071124B" w:rsidRDefault="00694E1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proofErr w:type="spellStart"/>
      <w:r w:rsidRPr="0071124B">
        <w:rPr>
          <w:rFonts w:ascii="Garamond" w:hAnsi="Garamond" w:cs="Arial"/>
          <w:color w:val="211E1E"/>
          <w:lang w:val="en-US"/>
        </w:rPr>
        <w:t>Eberhart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CG (2011) Molecular diagnostics in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embryonal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brain tumors. Brain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Pathol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21: 96-104.</w:t>
      </w:r>
    </w:p>
    <w:p w:rsidR="00694E1D" w:rsidRPr="0071124B" w:rsidRDefault="00694E1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r w:rsidRPr="0071124B">
        <w:rPr>
          <w:rFonts w:ascii="Garamond" w:hAnsi="Garamond" w:cs="Arial"/>
          <w:color w:val="211E1E"/>
          <w:lang w:val="en-US"/>
        </w:rPr>
        <w:t xml:space="preserve">Ellison DW, Dalton J,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Kocak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M, Nicholson SL, </w:t>
      </w:r>
      <w:r w:rsidR="00E94BFB" w:rsidRPr="0071124B">
        <w:rPr>
          <w:rFonts w:ascii="Garamond" w:hAnsi="Garamond" w:cs="Arial"/>
          <w:color w:val="211E1E"/>
          <w:lang w:val="en-US"/>
        </w:rPr>
        <w:t>et Al.</w:t>
      </w:r>
      <w:r w:rsidRPr="0071124B">
        <w:rPr>
          <w:rFonts w:ascii="Garamond" w:hAnsi="Garamond" w:cs="Arial"/>
          <w:color w:val="211E1E"/>
          <w:lang w:val="en-US"/>
        </w:rPr>
        <w:t xml:space="preserve"> (2011)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Medulloblastoma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: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clinicopathological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correlates of SHH, WNT, and non-SHH/WNT molecular subgroups.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Acta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Neuropathol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121: 381-396.</w:t>
      </w:r>
    </w:p>
    <w:p w:rsidR="00694E1D" w:rsidRPr="0071124B" w:rsidRDefault="00694E1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proofErr w:type="spellStart"/>
      <w:r w:rsidRPr="0071124B">
        <w:rPr>
          <w:rFonts w:ascii="Garamond" w:hAnsi="Garamond" w:cs="Arial"/>
          <w:color w:val="211E1E"/>
          <w:lang w:val="en-US"/>
        </w:rPr>
        <w:t>Fattet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S,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Haberler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C,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Legoix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P, Varlet P, </w:t>
      </w:r>
      <w:r w:rsidR="00E94BFB" w:rsidRPr="0071124B">
        <w:rPr>
          <w:rFonts w:ascii="Garamond" w:hAnsi="Garamond" w:cs="Arial"/>
          <w:color w:val="211E1E"/>
          <w:lang w:val="en-US"/>
        </w:rPr>
        <w:t>et Al.</w:t>
      </w:r>
      <w:r w:rsidRPr="0071124B">
        <w:rPr>
          <w:rFonts w:ascii="Garamond" w:hAnsi="Garamond" w:cs="Arial"/>
          <w:color w:val="211E1E"/>
          <w:lang w:val="en-US"/>
        </w:rPr>
        <w:t xml:space="preserve"> (2009) Beta-catenin status in pediatric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medulloblastomas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: correlation of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immunohistochemical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expression with mutational status, genetic profiles, and clinical characteristics. J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Pathol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218: 86-94. </w:t>
      </w:r>
    </w:p>
    <w:p w:rsidR="008155DD" w:rsidRPr="0071124B" w:rsidRDefault="008155D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proofErr w:type="spellStart"/>
      <w:r w:rsidRPr="0071124B">
        <w:rPr>
          <w:rFonts w:ascii="Garamond" w:hAnsi="Garamond" w:cs="Arial"/>
          <w:color w:val="211E1E"/>
          <w:lang w:val="en-US"/>
        </w:rPr>
        <w:t>Gajjar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A,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Chintagumpala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M, Ashley D, Kellie S, </w:t>
      </w:r>
      <w:r w:rsidR="00E94BFB" w:rsidRPr="0071124B">
        <w:rPr>
          <w:rFonts w:ascii="Garamond" w:hAnsi="Garamond" w:cs="Arial"/>
          <w:color w:val="211E1E"/>
          <w:lang w:val="en-US"/>
        </w:rPr>
        <w:t>et Al.</w:t>
      </w:r>
      <w:r w:rsidRPr="0071124B">
        <w:rPr>
          <w:rFonts w:ascii="Garamond" w:hAnsi="Garamond" w:cs="Arial"/>
          <w:color w:val="211E1E"/>
          <w:lang w:val="en-US"/>
        </w:rPr>
        <w:t xml:space="preserve"> (2006) Risk-adapted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craniospinal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radiotherapy followed by high-dose chemotherapy and stem-cell rescue in children with newly diagnosed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medulloblastoma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(St Jude Medulloblastoma-96): Long-term results from a prospective,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multicentre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trial. Lancet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Oncol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7:813-820.</w:t>
      </w:r>
    </w:p>
    <w:p w:rsidR="008155DD" w:rsidRPr="0071124B" w:rsidRDefault="008155DD" w:rsidP="008155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Garamond" w:hAnsi="Garamond" w:cs="Arial"/>
          <w:iCs/>
          <w:lang w:val="en-US"/>
        </w:rPr>
      </w:pPr>
      <w:r w:rsidRPr="0071124B">
        <w:rPr>
          <w:rFonts w:ascii="Garamond" w:hAnsi="Garamond" w:cs="Arial"/>
          <w:iCs/>
          <w:lang w:val="en-US"/>
        </w:rPr>
        <w:t xml:space="preserve">Gerber NU,  </w:t>
      </w:r>
      <w:proofErr w:type="spellStart"/>
      <w:r w:rsidRPr="0071124B">
        <w:rPr>
          <w:rFonts w:ascii="Garamond" w:hAnsi="Garamond" w:cs="Arial"/>
          <w:iCs/>
          <w:lang w:val="en-US"/>
        </w:rPr>
        <w:t>Mynarek</w:t>
      </w:r>
      <w:proofErr w:type="spellEnd"/>
      <w:r w:rsidRPr="0071124B">
        <w:rPr>
          <w:rFonts w:ascii="Garamond" w:hAnsi="Garamond" w:cs="Arial"/>
          <w:iCs/>
          <w:lang w:val="en-US"/>
        </w:rPr>
        <w:t xml:space="preserve"> M, von Hoff K, Friedrich C, </w:t>
      </w:r>
      <w:r w:rsidR="00E94BFB" w:rsidRPr="0071124B">
        <w:rPr>
          <w:rFonts w:ascii="Garamond" w:hAnsi="Garamond" w:cs="Arial"/>
          <w:iCs/>
          <w:lang w:val="en-US"/>
        </w:rPr>
        <w:t>et Al.</w:t>
      </w:r>
      <w:r w:rsidRPr="0071124B">
        <w:rPr>
          <w:rFonts w:ascii="Garamond" w:hAnsi="Garamond" w:cs="Arial"/>
          <w:iCs/>
          <w:lang w:val="en-US"/>
        </w:rPr>
        <w:t xml:space="preserve"> </w:t>
      </w:r>
      <w:r w:rsidR="00E94BFB" w:rsidRPr="0071124B">
        <w:rPr>
          <w:rFonts w:ascii="Garamond" w:hAnsi="Garamond" w:cs="Arial"/>
          <w:iCs/>
          <w:lang w:val="en-US"/>
        </w:rPr>
        <w:t>(2014)</w:t>
      </w:r>
      <w:r w:rsidRPr="0071124B">
        <w:rPr>
          <w:rFonts w:ascii="Garamond" w:hAnsi="Garamond" w:cs="Arial"/>
          <w:iCs/>
          <w:lang w:val="en-US"/>
        </w:rPr>
        <w:t xml:space="preserve">.Recent developments and current concepts in </w:t>
      </w:r>
      <w:proofErr w:type="spellStart"/>
      <w:r w:rsidRPr="0071124B">
        <w:rPr>
          <w:rFonts w:ascii="Garamond" w:hAnsi="Garamond" w:cs="Arial"/>
          <w:iCs/>
          <w:lang w:val="en-US"/>
        </w:rPr>
        <w:t>medulloblastoma</w:t>
      </w:r>
      <w:proofErr w:type="spellEnd"/>
      <w:r w:rsidRPr="0071124B">
        <w:rPr>
          <w:rFonts w:ascii="Garamond" w:hAnsi="Garamond" w:cs="Arial"/>
          <w:iCs/>
          <w:lang w:val="en-US"/>
        </w:rPr>
        <w:t>. Cancer Treatment Reviews xxx xxx–xxx</w:t>
      </w:r>
    </w:p>
    <w:p w:rsidR="00694E1D" w:rsidRPr="0071124B" w:rsidRDefault="00331D13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proofErr w:type="spellStart"/>
      <w:r w:rsidRPr="0071124B">
        <w:rPr>
          <w:rFonts w:ascii="Garamond" w:hAnsi="Garamond" w:cs="Arial"/>
          <w:color w:val="211E1E"/>
          <w:lang w:val="en-US"/>
        </w:rPr>
        <w:t>Giangaspero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F,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Eberhart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CG,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Haapasalo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H,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Pietsch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T, </w:t>
      </w:r>
      <w:r w:rsidR="00E94BFB" w:rsidRPr="0071124B">
        <w:rPr>
          <w:rFonts w:ascii="Garamond" w:hAnsi="Garamond" w:cs="Arial"/>
          <w:color w:val="211E1E"/>
          <w:lang w:val="en-US"/>
        </w:rPr>
        <w:t>et Al.</w:t>
      </w:r>
      <w:r w:rsidRPr="0071124B">
        <w:rPr>
          <w:rFonts w:ascii="Garamond" w:hAnsi="Garamond" w:cs="Arial"/>
          <w:color w:val="211E1E"/>
          <w:lang w:val="en-US"/>
        </w:rPr>
        <w:t xml:space="preserve">.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Medulloblastoma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. In: Louis DN,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Ohgaki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H,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Wiestler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OD,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Cavanee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WK Eds. WHO Classification of tumors of the Central Nervous System. Lyon: IARC; 2007: 132-140.</w:t>
      </w:r>
      <w:r w:rsidR="00694E1D" w:rsidRPr="0071124B">
        <w:rPr>
          <w:rFonts w:ascii="Garamond" w:hAnsi="Garamond" w:cs="Arial"/>
          <w:color w:val="211E1E"/>
          <w:lang w:val="en-US"/>
        </w:rPr>
        <w:t xml:space="preserve"> </w:t>
      </w:r>
    </w:p>
    <w:p w:rsidR="00694E1D" w:rsidRPr="0071124B" w:rsidRDefault="00694E1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r w:rsidRPr="0071124B">
        <w:rPr>
          <w:rFonts w:ascii="Garamond" w:hAnsi="Garamond" w:cs="Arial"/>
          <w:color w:val="211E1E"/>
          <w:lang w:val="en-US"/>
        </w:rPr>
        <w:t xml:space="preserve">Gibson P, Tong Y, Robinson G, Thompson MC, </w:t>
      </w:r>
      <w:r w:rsidR="00E94BFB" w:rsidRPr="0071124B">
        <w:rPr>
          <w:rFonts w:ascii="Garamond" w:hAnsi="Garamond" w:cs="Arial"/>
          <w:color w:val="211E1E"/>
          <w:lang w:val="en-US"/>
        </w:rPr>
        <w:t>et Al</w:t>
      </w:r>
      <w:r w:rsidRPr="0071124B">
        <w:rPr>
          <w:rFonts w:ascii="Garamond" w:hAnsi="Garamond" w:cs="Arial"/>
          <w:color w:val="211E1E"/>
          <w:lang w:val="en-US"/>
        </w:rPr>
        <w:t xml:space="preserve">.(2010) Subtypes of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medulloblastoma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have distinct developmental origins. Nature  468: 1095-1099.</w:t>
      </w:r>
    </w:p>
    <w:p w:rsidR="00694E1D" w:rsidRPr="0071124B" w:rsidRDefault="00694E1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r w:rsidRPr="0071124B">
        <w:rPr>
          <w:rFonts w:ascii="Garamond" w:hAnsi="Garamond" w:cs="Arial"/>
          <w:color w:val="211E1E"/>
          <w:lang w:val="en-US"/>
        </w:rPr>
        <w:t xml:space="preserve">Kool M,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Korshunov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A,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Remke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M, Jones DT, </w:t>
      </w:r>
      <w:r w:rsidR="008155DD" w:rsidRPr="0071124B">
        <w:rPr>
          <w:rFonts w:ascii="Garamond" w:hAnsi="Garamond" w:cs="Arial"/>
          <w:color w:val="211E1E"/>
          <w:lang w:val="en-US"/>
        </w:rPr>
        <w:t xml:space="preserve">et Al. </w:t>
      </w:r>
      <w:r w:rsidRPr="0071124B">
        <w:rPr>
          <w:rFonts w:ascii="Garamond" w:hAnsi="Garamond" w:cs="Arial"/>
          <w:color w:val="211E1E"/>
          <w:lang w:val="en-US"/>
        </w:rPr>
        <w:t xml:space="preserve">(2012) Molecular subgroups of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medulloblastoma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: an international meta-analysis of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transcriptome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, genetic aberrations, and clinical data of WNT, SHH, Group 3, and Group  of WNT, SHH, Group 3, and Group 4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medulloblastomas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.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Acta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Neuropathol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123:473-84.</w:t>
      </w:r>
    </w:p>
    <w:p w:rsidR="008155DD" w:rsidRPr="0071124B" w:rsidRDefault="008155DD" w:rsidP="008155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Garamond" w:hAnsi="Garamond" w:cs="Arial"/>
          <w:iCs/>
          <w:lang w:val="en-US" w:eastAsia="it-IT"/>
        </w:rPr>
      </w:pPr>
      <w:proofErr w:type="spellStart"/>
      <w:r w:rsidRPr="0071124B">
        <w:rPr>
          <w:rFonts w:ascii="Garamond" w:hAnsi="Garamond" w:cs="Arial"/>
          <w:iCs/>
        </w:rPr>
        <w:t>Narwal</w:t>
      </w:r>
      <w:proofErr w:type="spellEnd"/>
      <w:r w:rsidRPr="0071124B">
        <w:rPr>
          <w:rFonts w:ascii="Garamond" w:hAnsi="Garamond" w:cs="Arial"/>
          <w:iCs/>
        </w:rPr>
        <w:t xml:space="preserve"> M, </w:t>
      </w:r>
      <w:proofErr w:type="spellStart"/>
      <w:r w:rsidRPr="0071124B">
        <w:rPr>
          <w:rFonts w:ascii="Garamond" w:hAnsi="Garamond" w:cs="Arial"/>
          <w:iCs/>
        </w:rPr>
        <w:t>Venkannagari</w:t>
      </w:r>
      <w:proofErr w:type="spellEnd"/>
      <w:r w:rsidRPr="0071124B">
        <w:rPr>
          <w:rFonts w:ascii="Garamond" w:hAnsi="Garamond" w:cs="Arial"/>
          <w:iCs/>
        </w:rPr>
        <w:t xml:space="preserve"> H, </w:t>
      </w:r>
      <w:proofErr w:type="spellStart"/>
      <w:r w:rsidRPr="0071124B">
        <w:rPr>
          <w:rFonts w:ascii="Garamond" w:hAnsi="Garamond" w:cs="Arial"/>
          <w:iCs/>
        </w:rPr>
        <w:t>Lehtiö</w:t>
      </w:r>
      <w:proofErr w:type="spellEnd"/>
      <w:r w:rsidRPr="0071124B">
        <w:rPr>
          <w:rFonts w:ascii="Garamond" w:hAnsi="Garamond" w:cs="Arial"/>
          <w:iCs/>
        </w:rPr>
        <w:t xml:space="preserve"> L.</w:t>
      </w:r>
      <w:r w:rsidRPr="0071124B">
        <w:rPr>
          <w:rFonts w:ascii="Garamond" w:hAnsi="Garamond" w:cs="Arial"/>
          <w:iCs/>
          <w:lang w:eastAsia="it-IT"/>
        </w:rPr>
        <w:t xml:space="preserve"> </w:t>
      </w:r>
      <w:hyperlink r:id="rId8" w:history="1">
        <w:r w:rsidRPr="0071124B">
          <w:rPr>
            <w:rFonts w:ascii="Garamond" w:hAnsi="Garamond" w:cs="Arial"/>
            <w:iCs/>
            <w:lang w:val="en-US" w:eastAsia="it-IT"/>
          </w:rPr>
          <w:t xml:space="preserve">Structural basis of selective inhibition of human </w:t>
        </w:r>
        <w:proofErr w:type="spellStart"/>
        <w:r w:rsidRPr="0071124B">
          <w:rPr>
            <w:rFonts w:ascii="Garamond" w:hAnsi="Garamond" w:cs="Arial"/>
            <w:iCs/>
            <w:lang w:val="en-US" w:eastAsia="it-IT"/>
          </w:rPr>
          <w:t>tankyrases</w:t>
        </w:r>
        <w:proofErr w:type="spellEnd"/>
        <w:r w:rsidRPr="0071124B">
          <w:rPr>
            <w:rFonts w:ascii="Garamond" w:hAnsi="Garamond" w:cs="Arial"/>
            <w:iCs/>
            <w:lang w:val="en-US" w:eastAsia="it-IT"/>
          </w:rPr>
          <w:t>.</w:t>
        </w:r>
      </w:hyperlink>
      <w:r w:rsidRPr="0071124B">
        <w:rPr>
          <w:rFonts w:ascii="Garamond" w:hAnsi="Garamond" w:cs="Arial"/>
          <w:iCs/>
          <w:lang w:val="en-US" w:eastAsia="it-IT"/>
        </w:rPr>
        <w:t xml:space="preserve"> </w:t>
      </w:r>
      <w:r w:rsidRPr="0071124B">
        <w:rPr>
          <w:rFonts w:ascii="Garamond" w:hAnsi="Garamond" w:cs="Arial"/>
          <w:iCs/>
          <w:lang w:val="en-US"/>
        </w:rPr>
        <w:t>J Med Chem. 2012 , 55,1360-7.</w:t>
      </w:r>
    </w:p>
    <w:p w:rsidR="00331D13" w:rsidRPr="0071124B" w:rsidRDefault="00331D13" w:rsidP="008155DD">
      <w:pPr>
        <w:widowControl w:val="0"/>
        <w:numPr>
          <w:ilvl w:val="0"/>
          <w:numId w:val="1"/>
        </w:numPr>
        <w:tabs>
          <w:tab w:val="left" w:pos="355"/>
          <w:tab w:val="left" w:pos="668"/>
        </w:tabs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proofErr w:type="spellStart"/>
      <w:r w:rsidRPr="0071124B">
        <w:rPr>
          <w:rFonts w:ascii="Garamond" w:hAnsi="Garamond" w:cs="Arial"/>
          <w:color w:val="211E1E"/>
          <w:lang w:val="en-US"/>
        </w:rPr>
        <w:t>Northcott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PA,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Korshunov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A, Witt H,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Hielscher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T, </w:t>
      </w:r>
      <w:r w:rsidR="008155DD" w:rsidRPr="0071124B">
        <w:rPr>
          <w:rFonts w:ascii="Garamond" w:hAnsi="Garamond" w:cs="Arial"/>
          <w:color w:val="211E1E"/>
          <w:lang w:val="en-US"/>
        </w:rPr>
        <w:t>et Al.</w:t>
      </w:r>
      <w:r w:rsidRPr="0071124B">
        <w:rPr>
          <w:rFonts w:ascii="Garamond" w:hAnsi="Garamond" w:cs="Arial"/>
          <w:color w:val="211E1E"/>
          <w:lang w:val="en-US"/>
        </w:rPr>
        <w:t xml:space="preserve"> (2011)</w:t>
      </w:r>
      <w:r w:rsidRPr="0071124B">
        <w:rPr>
          <w:rFonts w:ascii="Garamond" w:hAnsi="Garamond" w:cs="Arial"/>
          <w:lang w:val="en-US"/>
        </w:rPr>
        <w:t xml:space="preserve"> </w:t>
      </w:r>
      <w:r w:rsidRPr="0071124B">
        <w:rPr>
          <w:rFonts w:ascii="Garamond" w:hAnsi="Garamond" w:cs="Arial"/>
          <w:color w:val="211E1E"/>
          <w:lang w:val="en-US"/>
        </w:rPr>
        <w:t xml:space="preserve">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Medulloblastoma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comprises four distinct molecular variants. J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Clin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Oncol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>. 29: 1408-1414.</w:t>
      </w:r>
    </w:p>
    <w:p w:rsidR="00331D13" w:rsidRPr="0071124B" w:rsidRDefault="00331D13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</w:rPr>
      </w:pPr>
      <w:proofErr w:type="spellStart"/>
      <w:r w:rsidRPr="0071124B">
        <w:rPr>
          <w:rFonts w:ascii="Garamond" w:hAnsi="Garamond" w:cs="Arial"/>
          <w:color w:val="211E1E"/>
          <w:lang w:val="en-US"/>
        </w:rPr>
        <w:t>Pfister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SM,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Korshunov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A, Kool M,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Hasselblatt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M, </w:t>
      </w:r>
      <w:r w:rsidR="008155DD" w:rsidRPr="0071124B">
        <w:rPr>
          <w:rFonts w:ascii="Garamond" w:hAnsi="Garamond" w:cs="Arial"/>
          <w:color w:val="211E1E"/>
          <w:lang w:val="en-US"/>
        </w:rPr>
        <w:t>et Al.</w:t>
      </w:r>
      <w:r w:rsidRPr="0071124B">
        <w:rPr>
          <w:rFonts w:ascii="Garamond" w:hAnsi="Garamond" w:cs="Arial"/>
          <w:color w:val="211E1E"/>
          <w:lang w:val="en-US"/>
        </w:rPr>
        <w:t xml:space="preserve"> (2010)</w:t>
      </w:r>
      <w:r w:rsidRPr="0071124B">
        <w:rPr>
          <w:rFonts w:ascii="Garamond" w:hAnsi="Garamond" w:cs="Arial"/>
          <w:lang w:val="en-US"/>
        </w:rPr>
        <w:t xml:space="preserve"> </w:t>
      </w:r>
      <w:r w:rsidRPr="0071124B">
        <w:rPr>
          <w:rFonts w:ascii="Garamond" w:hAnsi="Garamond" w:cs="Arial"/>
          <w:color w:val="211E1E"/>
          <w:lang w:val="en-US"/>
        </w:rPr>
        <w:t xml:space="preserve">Molecular diagnostics of CNS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embryonal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tumors. </w:t>
      </w:r>
      <w:r w:rsidRPr="0071124B">
        <w:rPr>
          <w:rFonts w:ascii="Garamond" w:hAnsi="Garamond" w:cs="Arial"/>
          <w:color w:val="211E1E"/>
        </w:rPr>
        <w:t xml:space="preserve">Acta </w:t>
      </w:r>
      <w:proofErr w:type="spellStart"/>
      <w:r w:rsidRPr="0071124B">
        <w:rPr>
          <w:rFonts w:ascii="Garamond" w:hAnsi="Garamond" w:cs="Arial"/>
          <w:color w:val="211E1E"/>
        </w:rPr>
        <w:t>Neuropathol</w:t>
      </w:r>
      <w:proofErr w:type="spellEnd"/>
      <w:r w:rsidRPr="0071124B">
        <w:rPr>
          <w:rFonts w:ascii="Garamond" w:hAnsi="Garamond" w:cs="Arial"/>
          <w:color w:val="211E1E"/>
        </w:rPr>
        <w:t xml:space="preserve"> 120: 553-566.</w:t>
      </w:r>
    </w:p>
    <w:p w:rsidR="008155DD" w:rsidRPr="0071124B" w:rsidRDefault="008155D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proofErr w:type="spellStart"/>
      <w:r w:rsidRPr="0071124B">
        <w:rPr>
          <w:rFonts w:ascii="Garamond" w:hAnsi="Garamond" w:cs="Arial"/>
          <w:color w:val="211E1E"/>
        </w:rPr>
        <w:t>Pöschl</w:t>
      </w:r>
      <w:proofErr w:type="spellEnd"/>
      <w:r w:rsidRPr="0071124B">
        <w:rPr>
          <w:rFonts w:ascii="Garamond" w:hAnsi="Garamond" w:cs="Arial"/>
          <w:color w:val="211E1E"/>
        </w:rPr>
        <w:t xml:space="preserve"> J, </w:t>
      </w:r>
      <w:proofErr w:type="spellStart"/>
      <w:r w:rsidRPr="0071124B">
        <w:rPr>
          <w:rFonts w:ascii="Garamond" w:hAnsi="Garamond" w:cs="Arial"/>
          <w:color w:val="211E1E"/>
        </w:rPr>
        <w:t>Grammel</w:t>
      </w:r>
      <w:proofErr w:type="spellEnd"/>
      <w:r w:rsidRPr="0071124B">
        <w:rPr>
          <w:rFonts w:ascii="Garamond" w:hAnsi="Garamond" w:cs="Arial"/>
          <w:color w:val="211E1E"/>
        </w:rPr>
        <w:t xml:space="preserve"> D; </w:t>
      </w:r>
      <w:proofErr w:type="spellStart"/>
      <w:r w:rsidRPr="0071124B">
        <w:rPr>
          <w:rFonts w:ascii="Garamond" w:hAnsi="Garamond" w:cs="Arial"/>
          <w:color w:val="211E1E"/>
        </w:rPr>
        <w:t>Dorostkar</w:t>
      </w:r>
      <w:proofErr w:type="spellEnd"/>
      <w:r w:rsidRPr="0071124B">
        <w:rPr>
          <w:rFonts w:ascii="Garamond" w:hAnsi="Garamond" w:cs="Arial"/>
          <w:color w:val="211E1E"/>
        </w:rPr>
        <w:t xml:space="preserve"> </w:t>
      </w:r>
      <w:proofErr w:type="spellStart"/>
      <w:r w:rsidRPr="0071124B">
        <w:rPr>
          <w:rFonts w:ascii="Garamond" w:hAnsi="Garamond" w:cs="Arial"/>
          <w:color w:val="211E1E"/>
        </w:rPr>
        <w:t>M.M,Batash</w:t>
      </w:r>
      <w:proofErr w:type="spellEnd"/>
      <w:r w:rsidRPr="0071124B">
        <w:rPr>
          <w:rFonts w:ascii="Garamond" w:hAnsi="Garamond" w:cs="Arial"/>
          <w:color w:val="211E1E"/>
        </w:rPr>
        <w:t xml:space="preserve"> R, et Al. </w:t>
      </w:r>
      <w:r w:rsidRPr="0071124B">
        <w:rPr>
          <w:rFonts w:ascii="Garamond" w:hAnsi="Garamond" w:cs="Arial"/>
          <w:color w:val="211E1E"/>
          <w:lang w:val="en-US"/>
        </w:rPr>
        <w:t xml:space="preserve">(2013) Constitutive activation of beta-catenin in neural progenitors results in disrupted proliferation and migration of neurons within the central nervous system. Dev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Biol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374:319-32</w:t>
      </w:r>
    </w:p>
    <w:p w:rsidR="00694E1D" w:rsidRPr="0071124B" w:rsidRDefault="00694E1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de-DE"/>
        </w:rPr>
      </w:pPr>
      <w:r w:rsidRPr="0071124B">
        <w:rPr>
          <w:rFonts w:ascii="Garamond" w:hAnsi="Garamond" w:cs="Arial"/>
          <w:color w:val="211E1E"/>
          <w:lang w:val="en-US"/>
        </w:rPr>
        <w:t xml:space="preserve">Rogers HA, Miller S, Lowe J,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Brundler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MA, </w:t>
      </w:r>
      <w:r w:rsidR="008155DD" w:rsidRPr="0071124B">
        <w:rPr>
          <w:rFonts w:ascii="Garamond" w:hAnsi="Garamond" w:cs="Arial"/>
          <w:color w:val="211E1E"/>
          <w:lang w:val="en-US"/>
        </w:rPr>
        <w:t>et Al.</w:t>
      </w:r>
      <w:r w:rsidRPr="0071124B">
        <w:rPr>
          <w:rFonts w:ascii="Garamond" w:hAnsi="Garamond" w:cs="Arial"/>
          <w:color w:val="211E1E"/>
          <w:lang w:val="en-US"/>
        </w:rPr>
        <w:t xml:space="preserve"> (2009) An investigation of WNT pathway activation and association with survival in central nervous system primitive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neuroectodermal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tumours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(CNS PNET). Br J Cancer 100:1292–1302.</w:t>
      </w:r>
    </w:p>
    <w:p w:rsidR="008155DD" w:rsidRPr="0071124B" w:rsidRDefault="008155D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</w:rPr>
      </w:pPr>
      <w:proofErr w:type="spellStart"/>
      <w:r w:rsidRPr="0071124B">
        <w:rPr>
          <w:rFonts w:ascii="Garamond" w:hAnsi="Garamond" w:cs="Arial"/>
          <w:color w:val="211E1E"/>
        </w:rPr>
        <w:lastRenderedPageBreak/>
        <w:t>Salaroli</w:t>
      </w:r>
      <w:proofErr w:type="spellEnd"/>
      <w:r w:rsidRPr="0071124B">
        <w:rPr>
          <w:rFonts w:ascii="Garamond" w:hAnsi="Garamond" w:cs="Arial"/>
          <w:color w:val="211E1E"/>
        </w:rPr>
        <w:t xml:space="preserve"> R, Di Tomaso T, Ronchi A, Ceccarelli C, et Al. </w:t>
      </w:r>
      <w:r w:rsidRPr="0071124B">
        <w:rPr>
          <w:rFonts w:ascii="Garamond" w:hAnsi="Garamond" w:cs="Arial"/>
          <w:color w:val="211E1E"/>
          <w:lang w:val="en-US"/>
        </w:rPr>
        <w:t>(2008)</w:t>
      </w:r>
      <w:r w:rsidRPr="0071124B">
        <w:rPr>
          <w:rFonts w:ascii="Garamond" w:hAnsi="Garamond" w:cs="Arial"/>
          <w:lang w:val="en-US"/>
        </w:rPr>
        <w:t xml:space="preserve">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Radiobiologic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response of </w:t>
      </w:r>
      <w:proofErr w:type="spellStart"/>
      <w:r w:rsidRPr="0071124B">
        <w:rPr>
          <w:rFonts w:ascii="Garamond" w:hAnsi="Garamond" w:cs="Arial"/>
          <w:color w:val="211E1E"/>
          <w:lang w:val="en-US"/>
        </w:rPr>
        <w:t>medulloblastoma</w:t>
      </w:r>
      <w:proofErr w:type="spellEnd"/>
      <w:r w:rsidRPr="0071124B">
        <w:rPr>
          <w:rFonts w:ascii="Garamond" w:hAnsi="Garamond" w:cs="Arial"/>
          <w:color w:val="211E1E"/>
          <w:lang w:val="en-US"/>
        </w:rPr>
        <w:t xml:space="preserve"> cell lines: involvement of beta-catenin?. </w:t>
      </w:r>
      <w:r w:rsidRPr="0071124B">
        <w:rPr>
          <w:rFonts w:ascii="Garamond" w:hAnsi="Garamond" w:cs="Arial"/>
          <w:color w:val="211E1E"/>
        </w:rPr>
        <w:t xml:space="preserve">J </w:t>
      </w:r>
      <w:proofErr w:type="spellStart"/>
      <w:r w:rsidRPr="0071124B">
        <w:rPr>
          <w:rFonts w:ascii="Garamond" w:hAnsi="Garamond" w:cs="Arial"/>
          <w:color w:val="211E1E"/>
        </w:rPr>
        <w:t>Neurooncol</w:t>
      </w:r>
      <w:proofErr w:type="spellEnd"/>
      <w:r w:rsidRPr="0071124B">
        <w:rPr>
          <w:rFonts w:ascii="Garamond" w:hAnsi="Garamond" w:cs="Arial"/>
          <w:color w:val="211E1E"/>
        </w:rPr>
        <w:t xml:space="preserve"> 90:243-251.</w:t>
      </w:r>
    </w:p>
    <w:p w:rsidR="008155DD" w:rsidRPr="0071124B" w:rsidRDefault="008155DD" w:rsidP="008155DD">
      <w:pPr>
        <w:widowControl w:val="0"/>
        <w:numPr>
          <w:ilvl w:val="0"/>
          <w:numId w:val="1"/>
        </w:numPr>
        <w:suppressAutoHyphens/>
        <w:spacing w:after="0" w:line="360" w:lineRule="auto"/>
        <w:ind w:left="924" w:hanging="357"/>
        <w:jc w:val="both"/>
        <w:rPr>
          <w:rFonts w:ascii="Garamond" w:hAnsi="Garamond" w:cs="Arial"/>
          <w:color w:val="211E1E"/>
          <w:lang w:val="en-US"/>
        </w:rPr>
      </w:pPr>
      <w:r w:rsidRPr="0071124B">
        <w:rPr>
          <w:rFonts w:ascii="Garamond" w:hAnsi="Garamond" w:cs="Arial"/>
          <w:lang w:val="en-US"/>
        </w:rPr>
        <w:t xml:space="preserve">Shih-Min A. Huang, Yuji M. </w:t>
      </w:r>
      <w:proofErr w:type="spellStart"/>
      <w:r w:rsidRPr="0071124B">
        <w:rPr>
          <w:rFonts w:ascii="Garamond" w:hAnsi="Garamond" w:cs="Arial"/>
          <w:lang w:val="en-US"/>
        </w:rPr>
        <w:t>Mishina</w:t>
      </w:r>
      <w:proofErr w:type="spellEnd"/>
      <w:r w:rsidRPr="0071124B">
        <w:rPr>
          <w:rFonts w:ascii="Garamond" w:hAnsi="Garamond" w:cs="Arial"/>
          <w:lang w:val="en-US"/>
        </w:rPr>
        <w:t xml:space="preserve">, et Al. (2009). </w:t>
      </w:r>
      <w:proofErr w:type="spellStart"/>
      <w:r w:rsidRPr="0071124B">
        <w:rPr>
          <w:rFonts w:ascii="Garamond" w:hAnsi="Garamond" w:cs="Arial"/>
          <w:lang w:val="en-US"/>
        </w:rPr>
        <w:t>Tankyrase</w:t>
      </w:r>
      <w:proofErr w:type="spellEnd"/>
      <w:r w:rsidRPr="0071124B">
        <w:rPr>
          <w:rFonts w:ascii="Garamond" w:hAnsi="Garamond" w:cs="Arial"/>
          <w:lang w:val="en-US"/>
        </w:rPr>
        <w:t xml:space="preserve"> inhibition stabilizes </w:t>
      </w:r>
      <w:proofErr w:type="spellStart"/>
      <w:r w:rsidRPr="0071124B">
        <w:rPr>
          <w:rFonts w:ascii="Garamond" w:hAnsi="Garamond" w:cs="Arial"/>
          <w:lang w:val="en-US"/>
        </w:rPr>
        <w:t>axin</w:t>
      </w:r>
      <w:proofErr w:type="spellEnd"/>
      <w:r w:rsidRPr="0071124B">
        <w:rPr>
          <w:rFonts w:ascii="Garamond" w:hAnsi="Garamond" w:cs="Arial"/>
          <w:lang w:val="en-US"/>
        </w:rPr>
        <w:t xml:space="preserve"> and antagonizes </w:t>
      </w:r>
      <w:proofErr w:type="spellStart"/>
      <w:r w:rsidRPr="0071124B">
        <w:rPr>
          <w:rFonts w:ascii="Garamond" w:hAnsi="Garamond" w:cs="Arial"/>
          <w:lang w:val="en-US"/>
        </w:rPr>
        <w:t>Wnt</w:t>
      </w:r>
      <w:proofErr w:type="spellEnd"/>
      <w:r w:rsidRPr="0071124B">
        <w:rPr>
          <w:rFonts w:ascii="Garamond" w:hAnsi="Garamond" w:cs="Arial"/>
          <w:lang w:val="en-US"/>
        </w:rPr>
        <w:t xml:space="preserve"> signaling. Nature 461, 614-620</w:t>
      </w:r>
    </w:p>
    <w:p w:rsidR="008155DD" w:rsidRPr="0071124B" w:rsidRDefault="008155DD" w:rsidP="008155D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24" w:hanging="357"/>
        <w:jc w:val="both"/>
        <w:rPr>
          <w:rFonts w:ascii="Garamond" w:hAnsi="Garamond" w:cs="Arial"/>
          <w:iCs/>
          <w:lang w:val="en-US"/>
        </w:rPr>
      </w:pPr>
      <w:r w:rsidRPr="0071124B">
        <w:rPr>
          <w:rFonts w:ascii="Garamond" w:hAnsi="Garamond" w:cs="Arial"/>
          <w:iCs/>
          <w:lang w:val="en-US"/>
        </w:rPr>
        <w:t xml:space="preserve">Tang B, Wang J, Fang J, Jiang B, et Al.. (2012)  Expression of TNKS1 is correlated with pathologic grade and </w:t>
      </w:r>
      <w:proofErr w:type="spellStart"/>
      <w:r w:rsidRPr="0071124B">
        <w:rPr>
          <w:rFonts w:ascii="Garamond" w:hAnsi="Garamond" w:cs="Arial"/>
          <w:iCs/>
          <w:lang w:val="en-US"/>
        </w:rPr>
        <w:t>Wnt</w:t>
      </w:r>
      <w:proofErr w:type="spellEnd"/>
      <w:r w:rsidRPr="0071124B">
        <w:rPr>
          <w:rFonts w:ascii="Garamond" w:hAnsi="Garamond" w:cs="Arial"/>
          <w:iCs/>
          <w:lang w:val="en-US"/>
        </w:rPr>
        <w:t xml:space="preserve">/b-catenin pathway in human </w:t>
      </w:r>
      <w:proofErr w:type="spellStart"/>
      <w:r w:rsidRPr="0071124B">
        <w:rPr>
          <w:rFonts w:ascii="Garamond" w:hAnsi="Garamond" w:cs="Arial"/>
          <w:iCs/>
          <w:lang w:val="en-US"/>
        </w:rPr>
        <w:t>astrocytomas</w:t>
      </w:r>
      <w:proofErr w:type="spellEnd"/>
      <w:r w:rsidRPr="0071124B">
        <w:rPr>
          <w:rFonts w:ascii="Garamond" w:hAnsi="Garamond" w:cs="Arial"/>
          <w:iCs/>
          <w:lang w:val="en-US"/>
        </w:rPr>
        <w:t xml:space="preserve">. Journal of Clinical Neuroscience 19, 139–143 </w:t>
      </w:r>
    </w:p>
    <w:p w:rsidR="00CF03EB" w:rsidRPr="0071124B" w:rsidRDefault="00CF03EB" w:rsidP="00694E1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aramond" w:hAnsi="Garamond"/>
          <w:iCs/>
          <w:lang w:val="en-US"/>
        </w:rPr>
      </w:pPr>
    </w:p>
    <w:sectPr w:rsidR="00CF03EB" w:rsidRPr="0071124B" w:rsidSect="00EA4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D5" w:rsidRDefault="00CB1ED5" w:rsidP="00331D13">
      <w:pPr>
        <w:spacing w:after="0" w:line="240" w:lineRule="auto"/>
      </w:pPr>
      <w:r>
        <w:separator/>
      </w:r>
    </w:p>
  </w:endnote>
  <w:endnote w:type="continuationSeparator" w:id="0">
    <w:p w:rsidR="00CB1ED5" w:rsidRDefault="00CB1ED5" w:rsidP="0033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DFCC P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D5" w:rsidRDefault="00CB1ED5" w:rsidP="00331D13">
      <w:pPr>
        <w:spacing w:after="0" w:line="240" w:lineRule="auto"/>
      </w:pPr>
      <w:r>
        <w:separator/>
      </w:r>
    </w:p>
  </w:footnote>
  <w:footnote w:type="continuationSeparator" w:id="0">
    <w:p w:rsidR="00CB1ED5" w:rsidRDefault="00CB1ED5" w:rsidP="0033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 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 %3)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OpenSymbol"/>
      </w:rPr>
    </w:lvl>
  </w:abstractNum>
  <w:abstractNum w:abstractNumId="1">
    <w:nsid w:val="68A540BE"/>
    <w:multiLevelType w:val="hybridMultilevel"/>
    <w:tmpl w:val="B18CD338"/>
    <w:lvl w:ilvl="0" w:tplc="C018F6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83E78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 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 %3)"/>
      <w:lvlJc w:val="lef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18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765"/>
    <w:rsid w:val="000C38C2"/>
    <w:rsid w:val="001B3085"/>
    <w:rsid w:val="00310B31"/>
    <w:rsid w:val="00331D13"/>
    <w:rsid w:val="003576D8"/>
    <w:rsid w:val="0038720E"/>
    <w:rsid w:val="00391E21"/>
    <w:rsid w:val="00426765"/>
    <w:rsid w:val="004300FC"/>
    <w:rsid w:val="00430FA5"/>
    <w:rsid w:val="00482566"/>
    <w:rsid w:val="0050346A"/>
    <w:rsid w:val="00544540"/>
    <w:rsid w:val="0069079B"/>
    <w:rsid w:val="00694E1D"/>
    <w:rsid w:val="006C56EC"/>
    <w:rsid w:val="006D1041"/>
    <w:rsid w:val="006E7707"/>
    <w:rsid w:val="0071124B"/>
    <w:rsid w:val="007612BB"/>
    <w:rsid w:val="007C3C42"/>
    <w:rsid w:val="007F5AD5"/>
    <w:rsid w:val="008155DD"/>
    <w:rsid w:val="00833CE2"/>
    <w:rsid w:val="00843EEC"/>
    <w:rsid w:val="008C57B6"/>
    <w:rsid w:val="00A961C9"/>
    <w:rsid w:val="00B8010E"/>
    <w:rsid w:val="00BB493A"/>
    <w:rsid w:val="00BF0B32"/>
    <w:rsid w:val="00C20839"/>
    <w:rsid w:val="00C22458"/>
    <w:rsid w:val="00C26EF1"/>
    <w:rsid w:val="00C40D7C"/>
    <w:rsid w:val="00C725C1"/>
    <w:rsid w:val="00CB1ED5"/>
    <w:rsid w:val="00CD1DDE"/>
    <w:rsid w:val="00CE072B"/>
    <w:rsid w:val="00CF03EB"/>
    <w:rsid w:val="00D14D58"/>
    <w:rsid w:val="00DA706D"/>
    <w:rsid w:val="00E77E23"/>
    <w:rsid w:val="00E94BFB"/>
    <w:rsid w:val="00EA4B9A"/>
    <w:rsid w:val="00EA4C9A"/>
    <w:rsid w:val="00EF22C3"/>
    <w:rsid w:val="00F256BA"/>
    <w:rsid w:val="00F4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C9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A4B9A"/>
    <w:pPr>
      <w:widowControl w:val="0"/>
      <w:suppressAutoHyphens/>
      <w:spacing w:after="0" w:line="100" w:lineRule="atLeast"/>
      <w:jc w:val="both"/>
    </w:pPr>
    <w:rPr>
      <w:rFonts w:ascii="IDFCC P+ Times" w:eastAsia="Times New Roman" w:hAnsi="IDFCC P+ Times" w:cs="IDFCC P+ Times"/>
      <w:color w:val="211E1E"/>
      <w:kern w:val="1"/>
      <w:sz w:val="20"/>
      <w:szCs w:val="20"/>
      <w:lang w:val="en-US" w:eastAsia="zh-CN"/>
    </w:rPr>
  </w:style>
  <w:style w:type="paragraph" w:customStyle="1" w:styleId="Pa12">
    <w:name w:val="Pa12"/>
    <w:basedOn w:val="Normale"/>
    <w:rsid w:val="000C38C2"/>
    <w:pPr>
      <w:suppressAutoHyphens/>
      <w:spacing w:after="0" w:line="201" w:lineRule="atLeast"/>
    </w:pPr>
    <w:rPr>
      <w:rFonts w:ascii="Times New Roman" w:eastAsia="SimSun" w:hAnsi="Times New Roman"/>
      <w:color w:val="00000A"/>
      <w:sz w:val="24"/>
      <w:szCs w:val="24"/>
    </w:rPr>
  </w:style>
  <w:style w:type="paragraph" w:customStyle="1" w:styleId="Predefinito">
    <w:name w:val="Predefinito"/>
    <w:rsid w:val="00833CE2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31D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D1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1D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D1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22333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Cenacchi</dc:creator>
  <cp:lastModifiedBy>Paola Frontera</cp:lastModifiedBy>
  <cp:revision>4</cp:revision>
  <dcterms:created xsi:type="dcterms:W3CDTF">2014-01-29T10:09:00Z</dcterms:created>
  <dcterms:modified xsi:type="dcterms:W3CDTF">2014-01-29T11:38:00Z</dcterms:modified>
</cp:coreProperties>
</file>